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法学院“雏鹰扶持计划”子基金管理使用实施细则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44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为深入推进法学院国际化办学进程，培养具有国际视野和国际竞争力的高素质人才，法学院在“中南法学一流学科建设基金”下设“雏鹰扶持计划”子基金，鼓励更多法学院学子参加出国交流项目。为规范、合理使用基金，制定本实施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第一条 </w:t>
      </w:r>
      <w:r>
        <w:rPr>
          <w:rStyle w:val="6"/>
          <w:rFonts w:hint="eastAsia" w:ascii="仿宋" w:hAnsi="仿宋" w:eastAsia="仿宋" w:cs="仿宋"/>
          <w:i w:val="0"/>
          <w:caps w:val="0"/>
          <w:color w:val="000000"/>
          <w:spacing w:val="0"/>
          <w:kern w:val="0"/>
          <w:sz w:val="28"/>
          <w:szCs w:val="28"/>
          <w:lang w:val="en-US" w:eastAsia="zh-CN" w:bidi="ar"/>
        </w:rPr>
        <w:t>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1、法学专业全日制在籍本科生、硕士生、博士生。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2、遵守国家法律法规及校规校纪，品行端正，无违法违纪行为。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3、学习态度端正，勤奋刻苦，成绩优良，无不及格课程。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4、获得教育部认定的国外正规大学法学专业交流项目的邀请信或录取函。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5、已申请当年国家留学基金委资助。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第二条 </w:t>
      </w:r>
      <w:r>
        <w:rPr>
          <w:rStyle w:val="6"/>
          <w:rFonts w:hint="eastAsia" w:ascii="仿宋" w:hAnsi="仿宋" w:eastAsia="仿宋" w:cs="仿宋"/>
          <w:i w:val="0"/>
          <w:caps w:val="0"/>
          <w:color w:val="000000"/>
          <w:spacing w:val="0"/>
          <w:kern w:val="0"/>
          <w:sz w:val="28"/>
          <w:szCs w:val="28"/>
          <w:lang w:val="en-US" w:eastAsia="zh-CN" w:bidi="ar"/>
        </w:rPr>
        <w:t>资助类型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1、经学校、学院组织选拔的短期实习、冬夏令营。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2、经学校、学院组织选拔的为期三个月以上的交换生项目、访问学者项目。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3、国外攻读学位。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第三条 </w:t>
      </w:r>
      <w:r>
        <w:rPr>
          <w:rStyle w:val="6"/>
          <w:rFonts w:hint="eastAsia" w:ascii="仿宋" w:hAnsi="仿宋" w:eastAsia="仿宋" w:cs="仿宋"/>
          <w:i w:val="0"/>
          <w:caps w:val="0"/>
          <w:color w:val="000000"/>
          <w:spacing w:val="0"/>
          <w:kern w:val="0"/>
          <w:sz w:val="28"/>
          <w:szCs w:val="28"/>
          <w:lang w:val="en-US" w:eastAsia="zh-CN" w:bidi="ar"/>
        </w:rPr>
        <w:t>资助金额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1、短期实习、冬夏令营：每个项目资助1人，每人资助1万元，一年内资助总额原则上不超过10万元。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2、交换生项目、访问学者：每个项目资助2人。按国家公派留学人员奖学金资助标准的70%予以资助。一年内资助总额原则上不超过60万元。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3、攻读学位：攻读硕士学位，一、二类学校分别资助</w:t>
      </w:r>
      <w:r>
        <w:rPr>
          <w:rFonts w:hint="eastAsia" w:ascii="仿宋" w:hAnsi="仿宋" w:eastAsia="仿宋" w:cs="仿宋"/>
          <w:i w:val="0"/>
          <w:caps w:val="0"/>
          <w:color w:val="FF0000"/>
          <w:spacing w:val="0"/>
          <w:kern w:val="0"/>
          <w:sz w:val="28"/>
          <w:szCs w:val="28"/>
          <w:lang w:val="en-US" w:eastAsia="zh-CN" w:bidi="ar"/>
        </w:rPr>
        <w:t>10万元、5万元</w:t>
      </w:r>
      <w:r>
        <w:rPr>
          <w:rFonts w:hint="eastAsia" w:ascii="仿宋" w:hAnsi="仿宋" w:eastAsia="仿宋" w:cs="仿宋"/>
          <w:i w:val="0"/>
          <w:caps w:val="0"/>
          <w:color w:val="000000"/>
          <w:spacing w:val="0"/>
          <w:kern w:val="0"/>
          <w:sz w:val="28"/>
          <w:szCs w:val="28"/>
          <w:lang w:val="en-US" w:eastAsia="zh-CN" w:bidi="ar"/>
        </w:rPr>
        <w:t>；攻读博士学位，一、二类学校分别资助20万元、15万元。一年内资助总额原则上不超过130万元。一、二类学校参考目录见附件。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第四条 </w:t>
      </w:r>
      <w:r>
        <w:rPr>
          <w:rStyle w:val="6"/>
          <w:rFonts w:hint="eastAsia" w:ascii="仿宋" w:hAnsi="仿宋" w:eastAsia="仿宋" w:cs="仿宋"/>
          <w:i w:val="0"/>
          <w:caps w:val="0"/>
          <w:color w:val="000000"/>
          <w:spacing w:val="0"/>
          <w:kern w:val="0"/>
          <w:sz w:val="28"/>
          <w:szCs w:val="28"/>
          <w:lang w:val="en-US" w:eastAsia="zh-CN" w:bidi="ar"/>
        </w:rPr>
        <w:t>遴选程序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1、遴选时间：每学年春季学期启动当学年评选工作。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2、遴选程序：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（1）学生根据申请条件自愿报名，向学院提交录取证明、成绩单、外语水平证明件、荣誉证书复印件等相关材料。本科生提交至法学院学生工作办公室，研究生提交至研究生工作办公室。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（2）法学院进行资格审核，初审后提交法学一流学科建设执行委员会。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36"/>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（3）法学一流学科建设执行委员会根据项目情况、学生个人情况、年度基金额度确定每年资助名单、资助人数和资助额度。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第五条 </w:t>
      </w:r>
      <w:r>
        <w:rPr>
          <w:rStyle w:val="6"/>
          <w:rFonts w:hint="eastAsia" w:ascii="仿宋" w:hAnsi="仿宋" w:eastAsia="仿宋" w:cs="仿宋"/>
          <w:i w:val="0"/>
          <w:caps w:val="0"/>
          <w:color w:val="000000"/>
          <w:spacing w:val="0"/>
          <w:kern w:val="0"/>
          <w:sz w:val="28"/>
          <w:szCs w:val="28"/>
          <w:lang w:val="en-US" w:eastAsia="zh-CN" w:bidi="ar"/>
        </w:rPr>
        <w:t>遴选标准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 xml:space="preserve">1、本基金每年使用总额度不超过200万元。法学一流学科建设执行委员会根据当年 </w:t>
      </w:r>
      <w:bookmarkStart w:id="0" w:name="_GoBack"/>
      <w:bookmarkEnd w:id="0"/>
      <w:r>
        <w:rPr>
          <w:rFonts w:hint="eastAsia" w:ascii="仿宋" w:hAnsi="仿宋" w:eastAsia="仿宋" w:cs="仿宋"/>
          <w:i w:val="0"/>
          <w:caps w:val="0"/>
          <w:color w:val="000000"/>
          <w:spacing w:val="0"/>
          <w:kern w:val="0"/>
          <w:sz w:val="28"/>
          <w:szCs w:val="28"/>
          <w:lang w:val="en-US" w:eastAsia="zh-CN" w:bidi="ar"/>
        </w:rPr>
        <w:t>资金使用情况和申请人的学业成绩、语言水平、家庭经济情况、出访地区的吃住行条件等综合评定，可适当调整各类交流项目的资金使用额度。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2、攻读学位的学生，若就读学校不在本细则规定的一、二类学校参考目录内，亦可提出申请，由法学一流学科建设执行委员会评审决定是否予以资助。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3、获得国家留学基金委的资助和作为师资储备人才赴国外攻读学位的，不再接受本基金资助。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4、申请学生若已获得高于本基金标准的其他资助，则不再提供资助；若所获其他资助低于本基金标资，则按本标准补齐差额。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5、对家庭条件特别困难、学习成绩特别优秀、交流学校特别知名的学生，经法学一流学科建设执行委员会评审同意，可予以全额资助。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第六条 </w:t>
      </w:r>
      <w:r>
        <w:rPr>
          <w:rStyle w:val="6"/>
          <w:rFonts w:hint="eastAsia" w:ascii="仿宋" w:hAnsi="仿宋" w:eastAsia="仿宋" w:cs="仿宋"/>
          <w:i w:val="0"/>
          <w:caps w:val="0"/>
          <w:color w:val="000000"/>
          <w:spacing w:val="0"/>
          <w:kern w:val="0"/>
          <w:sz w:val="28"/>
          <w:szCs w:val="28"/>
          <w:lang w:val="en-US" w:eastAsia="zh-CN" w:bidi="ar"/>
        </w:rPr>
        <w:t>资助发放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44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1、短期实习、冬夏令营在评审结束后一次性发放。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44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2、交换生、访问学者在项目完成后发放。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444"/>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3、赴国外攻读学位的，学生办理好</w:t>
      </w:r>
      <w:r>
        <w:rPr>
          <w:rFonts w:hint="eastAsia" w:ascii="仿宋" w:hAnsi="仿宋" w:eastAsia="仿宋" w:cs="仿宋"/>
          <w:i w:val="0"/>
          <w:caps w:val="0"/>
          <w:color w:val="000000"/>
          <w:spacing w:val="0"/>
          <w:kern w:val="0"/>
          <w:sz w:val="28"/>
          <w:szCs w:val="28"/>
          <w:highlight w:val="none"/>
          <w:lang w:val="en-US" w:eastAsia="zh-CN" w:bidi="ar"/>
        </w:rPr>
        <w:t>入学</w:t>
      </w:r>
      <w:r>
        <w:rPr>
          <w:rFonts w:hint="eastAsia" w:ascii="仿宋" w:hAnsi="仿宋" w:eastAsia="仿宋" w:cs="仿宋"/>
          <w:i w:val="0"/>
          <w:caps w:val="0"/>
          <w:color w:val="000000"/>
          <w:spacing w:val="0"/>
          <w:kern w:val="0"/>
          <w:sz w:val="28"/>
          <w:szCs w:val="28"/>
          <w:lang w:val="en-US" w:eastAsia="zh-CN" w:bidi="ar"/>
        </w:rPr>
        <w:t>手续后发放</w:t>
      </w:r>
      <w:r>
        <w:rPr>
          <w:rFonts w:hint="eastAsia" w:ascii="仿宋" w:hAnsi="仿宋" w:eastAsia="仿宋" w:cs="仿宋"/>
          <w:i w:val="0"/>
          <w:caps w:val="0"/>
          <w:color w:val="FF0000"/>
          <w:spacing w:val="0"/>
          <w:kern w:val="0"/>
          <w:sz w:val="28"/>
          <w:szCs w:val="28"/>
          <w:lang w:val="en-US" w:eastAsia="zh-CN" w:bidi="ar"/>
        </w:rPr>
        <w:t>50%</w:t>
      </w:r>
      <w:r>
        <w:rPr>
          <w:rFonts w:hint="eastAsia" w:ascii="仿宋" w:hAnsi="仿宋" w:eastAsia="仿宋" w:cs="仿宋"/>
          <w:i w:val="0"/>
          <w:caps w:val="0"/>
          <w:color w:val="000000"/>
          <w:spacing w:val="0"/>
          <w:kern w:val="0"/>
          <w:sz w:val="28"/>
          <w:szCs w:val="28"/>
          <w:lang w:val="en-US" w:eastAsia="zh-CN" w:bidi="ar"/>
        </w:rPr>
        <w:t>，获得相应学位后发放</w:t>
      </w:r>
      <w:r>
        <w:rPr>
          <w:rFonts w:hint="eastAsia" w:ascii="仿宋" w:hAnsi="仿宋" w:eastAsia="仿宋" w:cs="仿宋"/>
          <w:i w:val="0"/>
          <w:caps w:val="0"/>
          <w:color w:val="FF0000"/>
          <w:spacing w:val="0"/>
          <w:kern w:val="0"/>
          <w:sz w:val="28"/>
          <w:szCs w:val="28"/>
          <w:lang w:val="en-US" w:eastAsia="zh-CN" w:bidi="ar"/>
        </w:rPr>
        <w:t>50%</w:t>
      </w:r>
      <w:r>
        <w:rPr>
          <w:rFonts w:hint="eastAsia" w:ascii="仿宋" w:hAnsi="仿宋" w:eastAsia="仿宋" w:cs="仿宋"/>
          <w:i w:val="0"/>
          <w:caps w:val="0"/>
          <w:color w:val="000000"/>
          <w:spacing w:val="0"/>
          <w:kern w:val="0"/>
          <w:sz w:val="28"/>
          <w:szCs w:val="28"/>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444"/>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4、因资金发放产生的税费由受助个人承担。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b/>
          <w:i w:val="0"/>
          <w:caps w:val="0"/>
          <w:color w:val="000000"/>
          <w:spacing w:val="0"/>
          <w:kern w:val="0"/>
          <w:sz w:val="28"/>
          <w:szCs w:val="28"/>
          <w:lang w:val="en-US" w:eastAsia="zh-CN" w:bidi="ar"/>
        </w:rPr>
        <w:t>第七条 </w:t>
      </w:r>
      <w:r>
        <w:rPr>
          <w:rStyle w:val="6"/>
          <w:rFonts w:hint="eastAsia" w:ascii="仿宋" w:hAnsi="仿宋" w:eastAsia="仿宋" w:cs="仿宋"/>
          <w:i w:val="0"/>
          <w:caps w:val="0"/>
          <w:color w:val="000000"/>
          <w:spacing w:val="0"/>
          <w:kern w:val="0"/>
          <w:sz w:val="28"/>
          <w:szCs w:val="28"/>
          <w:lang w:val="en-US" w:eastAsia="zh-CN" w:bidi="ar"/>
        </w:rPr>
        <w:t>跟踪管理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1、获助学生在境外学习期间遵守相关法律法规及校规校纪，无违法违纪行为。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2、获助学生在境外学习认真刻苦，成绩优良，按时完成学业。若无法完成学业，收回已发放的资助，剩余资助经费将不再发放。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3、获助学生应关心母校发展，在适当的时候对母校进行必要的宣传和支持。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4、获助学生完成交流（学习）项目后，应在半年内向在校生进行宣讲和经验分享。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Style w:val="6"/>
          <w:rFonts w:hint="eastAsia" w:ascii="仿宋" w:hAnsi="仿宋" w:eastAsia="仿宋" w:cs="仿宋"/>
          <w:i w:val="0"/>
          <w:caps w:val="0"/>
          <w:color w:val="000000"/>
          <w:spacing w:val="0"/>
          <w:kern w:val="0"/>
          <w:sz w:val="28"/>
          <w:szCs w:val="28"/>
          <w:lang w:val="en-US" w:eastAsia="zh-CN" w:bidi="ar"/>
        </w:rPr>
        <w:t>第八条附则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1、本实施细则自颁布之日起生效，实施五年。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2、本实施细则的最终解释权属法学一流学科建设执行委员会。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color w:val="333333"/>
          <w:sz w:val="28"/>
          <w:szCs w:val="28"/>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附：</w:t>
      </w:r>
    </w:p>
    <w:p>
      <w:pPr>
        <w:pStyle w:val="2"/>
        <w:jc w:val="center"/>
        <w:rPr>
          <w:rFonts w:hint="eastAsia"/>
          <w:lang w:eastAsia="zh-CN"/>
        </w:rPr>
      </w:pPr>
      <w:r>
        <w:rPr>
          <w:rFonts w:hint="eastAsia"/>
          <w:lang w:eastAsia="zh-CN"/>
        </w:rPr>
        <w:t>“雏鹰扶持计划”资助攻读学位高校参考目录</w:t>
      </w:r>
    </w:p>
    <w:tbl>
      <w:tblPr>
        <w:tblStyle w:val="4"/>
        <w:tblW w:w="8107" w:type="dxa"/>
        <w:tblInd w:w="0" w:type="dxa"/>
        <w:shd w:val="clear" w:color="auto" w:fill="auto"/>
        <w:tblLayout w:type="fixed"/>
        <w:tblCellMar>
          <w:top w:w="0" w:type="dxa"/>
          <w:left w:w="0" w:type="dxa"/>
          <w:bottom w:w="0" w:type="dxa"/>
          <w:right w:w="0" w:type="dxa"/>
        </w:tblCellMar>
      </w:tblPr>
      <w:tblGrid>
        <w:gridCol w:w="1296"/>
        <w:gridCol w:w="648"/>
        <w:gridCol w:w="3718"/>
        <w:gridCol w:w="2445"/>
      </w:tblGrid>
      <w:tr>
        <w:tblPrEx>
          <w:shd w:val="clear" w:color="auto" w:fill="auto"/>
          <w:tblLayout w:type="fixed"/>
          <w:tblCellMar>
            <w:top w:w="0" w:type="dxa"/>
            <w:left w:w="0" w:type="dxa"/>
            <w:bottom w:w="0" w:type="dxa"/>
            <w:right w:w="0" w:type="dxa"/>
          </w:tblCellMar>
        </w:tblPrEx>
        <w:trPr>
          <w:trHeight w:val="228"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等级</w:t>
            </w:r>
          </w:p>
        </w:tc>
        <w:tc>
          <w:tcPr>
            <w:tcW w:w="648" w:type="dxa"/>
            <w:tcBorders>
              <w:top w:val="single" w:color="000000" w:sz="4" w:space="0"/>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序号</w:t>
            </w:r>
          </w:p>
        </w:tc>
        <w:tc>
          <w:tcPr>
            <w:tcW w:w="3718" w:type="dxa"/>
            <w:tcBorders>
              <w:top w:val="single" w:color="000000" w:sz="4" w:space="0"/>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学校</w:t>
            </w:r>
          </w:p>
        </w:tc>
        <w:tc>
          <w:tcPr>
            <w:tcW w:w="2445" w:type="dxa"/>
            <w:tcBorders>
              <w:top w:val="single" w:color="000000" w:sz="4" w:space="0"/>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国家（地区）</w:t>
            </w:r>
          </w:p>
        </w:tc>
      </w:tr>
      <w:tr>
        <w:tblPrEx>
          <w:tblLayout w:type="fixed"/>
          <w:tblCellMar>
            <w:top w:w="0" w:type="dxa"/>
            <w:left w:w="0" w:type="dxa"/>
            <w:bottom w:w="0" w:type="dxa"/>
            <w:right w:w="0" w:type="dxa"/>
          </w:tblCellMar>
        </w:tblPrEx>
        <w:trPr>
          <w:trHeight w:val="228" w:hRule="atLeast"/>
        </w:trPr>
        <w:tc>
          <w:tcPr>
            <w:tcW w:w="1296" w:type="dxa"/>
            <w:vMerge w:val="restart"/>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一类</w:t>
            </w: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哈佛大学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2</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牛津大学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英国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3</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剑桥大学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英国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4</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耶鲁大学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5</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斯坦福大学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6</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纽约大学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7</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伦敦政治经济学院</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英国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8</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墨尔本大学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澳大利亚</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9</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东京大学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日本</w:t>
            </w:r>
          </w:p>
        </w:tc>
      </w:tr>
      <w:tr>
        <w:tblPrEx>
          <w:tblLayout w:type="fixed"/>
          <w:tblCellMar>
            <w:top w:w="0" w:type="dxa"/>
            <w:left w:w="0" w:type="dxa"/>
            <w:bottom w:w="0" w:type="dxa"/>
            <w:right w:w="0" w:type="dxa"/>
          </w:tblCellMar>
        </w:tblPrEx>
        <w:trPr>
          <w:trHeight w:val="228" w:hRule="atLeast"/>
        </w:trPr>
        <w:tc>
          <w:tcPr>
            <w:tcW w:w="1296" w:type="dxa"/>
            <w:vMerge w:val="continue"/>
            <w:tcBorders>
              <w:top w:val="nil"/>
              <w:left w:val="single" w:color="000000" w:sz="4" w:space="0"/>
              <w:bottom w:val="nil"/>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10</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海德堡大学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德国</w:t>
            </w:r>
          </w:p>
        </w:tc>
      </w:tr>
      <w:tr>
        <w:tblPrEx>
          <w:tblLayout w:type="fixed"/>
          <w:tblCellMar>
            <w:top w:w="0" w:type="dxa"/>
            <w:left w:w="0" w:type="dxa"/>
            <w:bottom w:w="0" w:type="dxa"/>
            <w:right w:w="0" w:type="dxa"/>
          </w:tblCellMar>
        </w:tblPrEx>
        <w:trPr>
          <w:trHeight w:val="228"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二类</w:t>
            </w: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加州伯克利分校</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2</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哥伦比亚大学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3</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芝加哥大学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4</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伦敦大学学院</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英国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5</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悉尼大学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澳大利亚</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6</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新加坡国立大学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新加坡</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7</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蒙特利尔大学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加拿大</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8</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伦敦国王学院</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英国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9</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乔治城大学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10</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爱丁堡大学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英国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11</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巴黎第一大学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法国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12</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莫纳什大学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澳大利亚</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13</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莱顿大学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荷兰</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14</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华盛顿大学圣路易斯分校</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15</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慕尼黑大学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德国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16</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科隆大学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德国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17</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埃默里大学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18</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罗马第一大学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意大利</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19</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特伦托大学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意大利</w:t>
            </w:r>
          </w:p>
        </w:tc>
      </w:tr>
      <w:tr>
        <w:tblPrEx>
          <w:tblLayout w:type="fixed"/>
          <w:tblCellMar>
            <w:top w:w="0" w:type="dxa"/>
            <w:left w:w="0" w:type="dxa"/>
            <w:bottom w:w="0" w:type="dxa"/>
            <w:right w:w="0" w:type="dxa"/>
          </w:tblCellMar>
        </w:tblPrEx>
        <w:trPr>
          <w:trHeight w:val="228"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p>
        </w:tc>
        <w:tc>
          <w:tcPr>
            <w:tcW w:w="64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top"/>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20</w:t>
            </w:r>
          </w:p>
        </w:tc>
        <w:tc>
          <w:tcPr>
            <w:tcW w:w="3718"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宾夕法尼亚州立大学</w:t>
            </w:r>
          </w:p>
        </w:tc>
        <w:tc>
          <w:tcPr>
            <w:tcW w:w="2445" w:type="dxa"/>
            <w:tcBorders>
              <w:top w:val="nil"/>
              <w:left w:val="nil"/>
              <w:bottom w:val="single" w:color="000000" w:sz="4" w:space="0"/>
              <w:right w:val="single" w:color="000000" w:sz="4" w:space="0"/>
            </w:tcBorders>
            <w:shd w:val="clear" w:color="auto" w:fill="auto"/>
            <w:tcMar>
              <w:top w:w="12" w:type="dxa"/>
              <w:left w:w="12" w:type="dxa"/>
              <w:bottom w:w="12" w:type="dxa"/>
              <w:right w:w="12" w:type="dxa"/>
            </w:tcMar>
            <w:vAlign w:val="center"/>
          </w:tcPr>
          <w:p>
            <w:pPr>
              <w:jc w:val="center"/>
              <w:textAlignment w:val="center"/>
              <w:rPr>
                <w:rFonts w:hint="eastAsia" w:ascii="宋体" w:hAnsi="宋体" w:eastAsia="宋体" w:cs="宋体"/>
                <w:b w:val="0"/>
                <w:bCs w:val="0"/>
                <w:color w:val="auto"/>
                <w:kern w:val="0"/>
                <w:sz w:val="30"/>
                <w:szCs w:val="30"/>
              </w:rPr>
            </w:pPr>
            <w:r>
              <w:rPr>
                <w:rFonts w:hint="eastAsia" w:ascii="宋体" w:hAnsi="宋体" w:eastAsia="宋体" w:cs="宋体"/>
                <w:b w:val="0"/>
                <w:bCs w:val="0"/>
                <w:color w:val="auto"/>
                <w:kern w:val="0"/>
                <w:sz w:val="30"/>
                <w:szCs w:val="30"/>
                <w:lang w:val="en-US" w:eastAsia="zh-CN"/>
              </w:rPr>
              <w:t>美国</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firstLine="384"/>
        <w:jc w:val="left"/>
        <w:rPr>
          <w:rFonts w:hint="eastAsia" w:ascii="仿宋" w:hAnsi="仿宋" w:eastAsia="仿宋" w:cs="仿宋"/>
          <w:color w:val="333333"/>
          <w:sz w:val="28"/>
          <w:szCs w:val="28"/>
        </w:rPr>
      </w:pPr>
      <w:r>
        <w:rPr>
          <w:rFonts w:hint="eastAsia" w:ascii="仿宋" w:hAnsi="仿宋" w:eastAsia="仿宋" w:cs="仿宋"/>
          <w:i w:val="0"/>
          <w:caps w:val="0"/>
          <w:color w:val="000000"/>
          <w:spacing w:val="0"/>
          <w:kern w:val="0"/>
          <w:sz w:val="28"/>
          <w:szCs w:val="28"/>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76" w:lineRule="atLeast"/>
        <w:ind w:left="0" w:right="0"/>
        <w:jc w:val="center"/>
        <w:rPr>
          <w:rFonts w:hint="eastAsia" w:ascii="仿宋" w:hAnsi="仿宋" w:eastAsia="仿宋" w:cs="仿宋"/>
          <w:color w:val="E2E2E2"/>
          <w:sz w:val="28"/>
          <w:szCs w:val="28"/>
        </w:rPr>
      </w:pPr>
      <w:r>
        <w:rPr>
          <w:rFonts w:hint="eastAsia" w:ascii="仿宋" w:hAnsi="仿宋" w:eastAsia="仿宋" w:cs="仿宋"/>
          <w:i w:val="0"/>
          <w:caps w:val="0"/>
          <w:color w:val="000000"/>
          <w:spacing w:val="0"/>
          <w:kern w:val="0"/>
          <w:sz w:val="28"/>
          <w:szCs w:val="28"/>
          <w:lang w:val="en-US" w:eastAsia="zh-CN" w:bidi="ar"/>
        </w:rPr>
        <w:t>  </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Light">
    <w:altName w:val="黑体"/>
    <w:panose1 w:val="020B0502040204020203"/>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46CEA"/>
    <w:rsid w:val="0B446CEA"/>
    <w:rsid w:val="15271856"/>
    <w:rsid w:val="1A732E4F"/>
    <w:rsid w:val="45461003"/>
    <w:rsid w:val="6D535020"/>
    <w:rsid w:val="7B782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微软雅黑 Light" w:cs="宋体"/>
      <w:color w:val="000000"/>
      <w:kern w:val="2"/>
      <w:sz w:val="24"/>
      <w:szCs w:val="21"/>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231</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2018-11-16T02:12:00Z</dcterms:created>
  <dc:creator>ch2012wh</dc:creator>
  <cp:lastModifiedBy>牧羊女娃</cp:lastModifiedBy>
  <cp:lastPrinted>2018-11-16T02:59:00Z</cp:lastPrinted>
  <dcterms:modified xsi:type="dcterms:W3CDTF">2019-09-18T06:10:20Z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