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AA48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bookmarkStart w:id="0" w:name="_GoBack"/>
      <w:bookmarkEnd w:id="0"/>
      <w:r>
        <w:rPr>
          <w:rFonts w:hint="eastAsia" w:ascii="仿宋" w:hAnsi="仿宋" w:eastAsia="仿宋" w:cs="黑体"/>
          <w:b/>
          <w:snapToGrid/>
          <w:kern w:val="2"/>
          <w:sz w:val="28"/>
          <w:szCs w:val="28"/>
          <w:lang w:eastAsia="zh-CN"/>
        </w:rPr>
        <w:t>附件3</w:t>
      </w:r>
    </w:p>
    <w:p w14:paraId="04F3F9D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r>
        <w:rPr>
          <w:rFonts w:hint="eastAsia" w:ascii="仿宋" w:hAnsi="仿宋" w:eastAsia="仿宋" w:cs="黑体"/>
          <w:b/>
          <w:snapToGrid/>
          <w:kern w:val="2"/>
          <w:sz w:val="28"/>
          <w:szCs w:val="28"/>
          <w:lang w:eastAsia="zh-CN"/>
        </w:rPr>
        <w:t>【政协提案范例</w:t>
      </w:r>
      <w:r>
        <w:rPr>
          <w:rFonts w:hint="eastAsia" w:ascii="仿宋" w:hAnsi="仿宋" w:eastAsia="仿宋" w:cs="黑体"/>
          <w:b/>
          <w:snapToGrid/>
          <w:kern w:val="2"/>
          <w:sz w:val="28"/>
          <w:szCs w:val="28"/>
          <w:lang w:val="en-US" w:eastAsia="zh-CN"/>
        </w:rPr>
        <w:t>1</w:t>
      </w:r>
      <w:r>
        <w:rPr>
          <w:rFonts w:hint="eastAsia" w:ascii="仿宋" w:hAnsi="仿宋" w:eastAsia="仿宋" w:cs="黑体"/>
          <w:b/>
          <w:snapToGrid/>
          <w:kern w:val="2"/>
          <w:sz w:val="28"/>
          <w:szCs w:val="28"/>
          <w:lang w:eastAsia="zh-CN"/>
        </w:rPr>
        <w:t>】</w:t>
      </w:r>
    </w:p>
    <w:p w14:paraId="1660E0B9">
      <w:pPr>
        <w:keepNext w:val="0"/>
        <w:keepLines w:val="0"/>
        <w:pageBreakBefore w:val="0"/>
        <w:widowControl/>
        <w:kinsoku/>
        <w:wordWrap/>
        <w:overflowPunct/>
        <w:topLinePunct w:val="0"/>
        <w:autoSpaceDE w:val="0"/>
        <w:autoSpaceDN w:val="0"/>
        <w:bidi w:val="0"/>
        <w:adjustRightInd w:val="0"/>
        <w:snapToGrid w:val="0"/>
        <w:spacing w:line="460" w:lineRule="exact"/>
        <w:ind w:left="0"/>
        <w:textAlignment w:val="baseline"/>
        <w:rPr>
          <w:rFonts w:ascii="Times New Roman" w:hAnsi="Times New Roman" w:eastAsia="黑体" w:cs="黑体"/>
          <w:sz w:val="30"/>
          <w:lang w:eastAsia="zh-CN"/>
        </w:rPr>
      </w:pPr>
    </w:p>
    <w:p w14:paraId="2FF026CC">
      <w:pPr>
        <w:keepNext w:val="0"/>
        <w:keepLines w:val="0"/>
        <w:pageBreakBefore w:val="0"/>
        <w:tabs>
          <w:tab w:val="left" w:pos="543"/>
        </w:tabs>
        <w:kinsoku/>
        <w:wordWrap/>
        <w:overflowPunct/>
        <w:topLinePunct w:val="0"/>
        <w:bidi w:val="0"/>
        <w:spacing w:after="419" w:line="580" w:lineRule="exact"/>
        <w:ind w:left="596"/>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全国政协十三届四次会议第2112号提案</w:t>
      </w:r>
    </w:p>
    <w:p w14:paraId="0D0B37E8">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题</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目：关于在架空线缆加快安装航空警示装置的提案</w:t>
      </w:r>
    </w:p>
    <w:p w14:paraId="0E0823FA">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提案者：吴仁彪</w:t>
      </w:r>
    </w:p>
    <w:p w14:paraId="66F67B19">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内</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容：</w:t>
      </w:r>
    </w:p>
    <w:p w14:paraId="196D006B">
      <w:pPr>
        <w:keepNext w:val="0"/>
        <w:keepLines w:val="0"/>
        <w:pageBreakBefore w:val="0"/>
        <w:widowControl/>
        <w:kinsoku/>
        <w:wordWrap/>
        <w:overflowPunct/>
        <w:topLinePunct w:val="0"/>
        <w:autoSpaceDE w:val="0"/>
        <w:autoSpaceDN w:val="0"/>
        <w:bidi w:val="0"/>
        <w:adjustRightInd w:val="0"/>
        <w:snapToGrid w:val="0"/>
        <w:spacing w:after="13" w:line="460" w:lineRule="exact"/>
        <w:ind w:left="663" w:right="527" w:hanging="11"/>
        <w:textAlignment w:val="baseline"/>
        <w:rPr>
          <w:rFonts w:hint="eastAsia" w:ascii="楷体" w:hAnsi="楷体" w:eastAsia="楷体" w:cs="楷体"/>
          <w:sz w:val="30"/>
          <w:szCs w:val="30"/>
          <w:lang w:eastAsia="zh-CN"/>
        </w:rPr>
      </w:pPr>
    </w:p>
    <w:p w14:paraId="796FA966">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一、架空线缆对通用航空飞行活动形成一定威胁</w:t>
      </w:r>
    </w:p>
    <w:p w14:paraId="79F49EAA">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随着我国通用航空事业的快速发展，先后发生了多起低空飞行器（尤其是直升机）撞线致死事故，不仅带来巨大的财产损失，也影响了电力部门的正常生产。</w:t>
      </w:r>
    </w:p>
    <w:p w14:paraId="70978F07">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二、在架空线缆及通讯杆塔上加装航空警示装置是国际普遍做法</w:t>
      </w:r>
    </w:p>
    <w:p w14:paraId="0F60BA20">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国际民航组织《国际标准和建设措施—机场》附件十四，对架空线缆安装障碍物标志和/或照明物体的适用条件、标志物的形状、大小、颜色、光强等给出了相应要求；《美国联邦航空局-障碍物标志和照明》在国际民航组织标准的基础上，对航空障碍物标志和照明物体的管理程序、涂装、标记、悬挂、照明灯做出了详细规定。澳大利亚、新西兰联合标准委员会对架空线缆及其支撑结构标志物的安装适用条件、颜色、形状、光强提出了详细要求，为规范低空飞行和净空环境保护提供了指导依据。</w:t>
      </w:r>
    </w:p>
    <w:p w14:paraId="1FFAD2FF">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三、我国在架空线缆上安装的障碍灯或警示标志普遍缺失</w:t>
      </w:r>
    </w:p>
    <w:p w14:paraId="0DD9E707">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长期以来，在我国机场及其净空保护范围以外的超低空区域，特别是橫跨河流、山谷、高速公路、高速铁路或位于低空航空器目视走廊中的架空输电线缆上，障碍灯或警示标志普遍缺失。近些年来，因挂撞架空线缆而发生的通航事故逐年增多且呈快速增长的态势，已引起了行业主管部门的高度重视，2021年2月23日，民航局飞行标准司下发了安全运行通告《直升机防撞线》，提出了直升机安全运行建议，为直升机运营人制定有关风险防控措施提供技术参考。</w:t>
      </w:r>
    </w:p>
    <w:p w14:paraId="7F878FAD">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四、航空器撞线事故的影响</w:t>
      </w:r>
    </w:p>
    <w:p w14:paraId="2FCB5947">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航空器撞线事故，不仅仅是航空器的损失和对驾乘人员生命安全的威胁，对电力部门的基础设施和电网损失同样巨大，除此而外，由于通用航空飞行区域的广泛性特征，存在对社会公众和第三方利益损害的巨大风险，因此，发生通用航空器撞线事故，已不是一两个行业或局部的损失。</w:t>
      </w:r>
    </w:p>
    <w:p w14:paraId="64B21A63">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五、加装航空警示标志的迫切性分析</w:t>
      </w:r>
    </w:p>
    <w:p w14:paraId="04349B1C">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我国电网规模在2009年已超过美国，居世界第一，是全球唯一建成特高压输电网络的国家，截至2019年底，110（66）千伏及以上输电线路长度达到109.34万千米。随着国家低空管理体制改革步伐的加快，通用航空呈现快速增长的态势，航空器撞线事故发生的风险会急剧地增加，航空器低空飞行安全面临更严峻的形势，对架空线缆的航空警示标志要求会更加迫切。</w:t>
      </w:r>
    </w:p>
    <w:p w14:paraId="712F1E99">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建议：</w:t>
      </w:r>
    </w:p>
    <w:p w14:paraId="1D45F001">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一、加强在架空线缆上安装航空警示装置的顶层设计</w:t>
      </w:r>
    </w:p>
    <w:p w14:paraId="77D52DE1">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从未来通航发展的大众化方向和满足应急救援需要的社会化特点，布局和推动低空警示装备的加装工作；由电力和民航部门联合规划研究全国架空高压线缆航警球的安装和布局问题，制定相应的行业或国家标准；从输电线路和杆塔设计端，把警示装置安装作为线路建设的一部分。</w:t>
      </w:r>
    </w:p>
    <w:p w14:paraId="4B3191BE">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二、统筹协调，排出在架空线缆上安装航空警示装置的优先级</w:t>
      </w:r>
    </w:p>
    <w:p w14:paraId="3A0124E4">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优先在军民用机场及低空飞行密集区域的架空线路上安装障碍航空警示球及障碍物标识；优先在威胁第三方安全的三跨线路上安装障碍航空警示球；以医疗救护、道路救援、海岛救援等特殊场景的救援需求为导向，优先设计加装航空警示装置。</w:t>
      </w:r>
    </w:p>
    <w:p w14:paraId="0772D166">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三、加快航空警示装置成熟产品的推广应用</w:t>
      </w:r>
    </w:p>
    <w:p w14:paraId="588A545A">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在架空线缆及其支撑杆塔上安装航空警示装置，对保障低空飞行安全、降低电网损坏风险、保障电力设施和输送电安全及保障第三方安全均有重要意义。目前，已有单位研制完成满足民航标准要求的架空输电线缆航空警示设备，但由于缺乏产品技术及设备安装应用等相关标准，在行业间协调使用受限，希望国家电网和民航局等相关部门积极参与，通过加强顶层设计，合力推进此项工作，最大程度预防和降低通用航空撞线事故的发生风险，有效保护行业发展及社会公众利益。</w:t>
      </w:r>
    </w:p>
    <w:p w14:paraId="77F72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08" w:lineRule="atLeast"/>
        <w:ind w:left="0" w:right="0" w:firstLine="0"/>
        <w:jc w:val="righ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材料来源：《</w:t>
      </w:r>
      <w:r>
        <w:rPr>
          <w:rFonts w:hint="eastAsia" w:ascii="楷体" w:hAnsi="楷体" w:eastAsia="楷体" w:cs="楷体"/>
          <w:b w:val="0"/>
          <w:bCs/>
          <w:snapToGrid w:val="0"/>
          <w:color w:val="000000"/>
          <w:kern w:val="0"/>
          <w:sz w:val="28"/>
          <w:szCs w:val="28"/>
          <w:lang w:val="en-US" w:eastAsia="zh-CN" w:bidi="ar-SA"/>
        </w:rPr>
        <w:t>全国政协2021年度好提案选编》</w:t>
      </w:r>
    </w:p>
    <w:p w14:paraId="7960C56E">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14:paraId="5B20044E">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14:paraId="3DEE253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r>
        <w:rPr>
          <w:rFonts w:hint="eastAsia" w:ascii="仿宋" w:hAnsi="仿宋" w:eastAsia="仿宋" w:cs="黑体"/>
          <w:b/>
          <w:snapToGrid/>
          <w:kern w:val="2"/>
          <w:sz w:val="28"/>
          <w:szCs w:val="28"/>
          <w:lang w:eastAsia="zh-CN"/>
        </w:rPr>
        <w:t>【政协提案范例</w:t>
      </w:r>
      <w:r>
        <w:rPr>
          <w:rFonts w:hint="eastAsia" w:ascii="仿宋" w:hAnsi="仿宋" w:eastAsia="仿宋" w:cs="黑体"/>
          <w:b/>
          <w:snapToGrid/>
          <w:kern w:val="2"/>
          <w:sz w:val="28"/>
          <w:szCs w:val="28"/>
          <w:lang w:val="en-US" w:eastAsia="zh-CN"/>
        </w:rPr>
        <w:t>2</w:t>
      </w:r>
      <w:r>
        <w:rPr>
          <w:rFonts w:hint="eastAsia" w:ascii="仿宋" w:hAnsi="仿宋" w:eastAsia="仿宋" w:cs="黑体"/>
          <w:b/>
          <w:snapToGrid/>
          <w:kern w:val="2"/>
          <w:sz w:val="28"/>
          <w:szCs w:val="28"/>
          <w:lang w:eastAsia="zh-CN"/>
        </w:rPr>
        <w:t>】</w:t>
      </w:r>
    </w:p>
    <w:p w14:paraId="366018CB">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14:paraId="11663F4C">
      <w:pPr>
        <w:keepNext w:val="0"/>
        <w:keepLines w:val="0"/>
        <w:pageBreakBefore w:val="0"/>
        <w:tabs>
          <w:tab w:val="left" w:pos="543"/>
        </w:tabs>
        <w:kinsoku/>
        <w:wordWrap/>
        <w:overflowPunct/>
        <w:topLinePunct w:val="0"/>
        <w:bidi w:val="0"/>
        <w:spacing w:after="419" w:line="580" w:lineRule="exact"/>
        <w:ind w:left="596"/>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全国政协十三届四次会议第0473号提案</w:t>
      </w:r>
    </w:p>
    <w:p w14:paraId="0FCC1F17">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题</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目：关于统筹山水林田湖草沙系统治理、推进生态高质量发展的提案</w:t>
      </w:r>
    </w:p>
    <w:p w14:paraId="49251471">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提案者：民革中央</w:t>
      </w:r>
    </w:p>
    <w:p w14:paraId="28BECD34">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内</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容：</w:t>
      </w:r>
    </w:p>
    <w:p w14:paraId="3DEFB2A3">
      <w:pPr>
        <w:keepNext w:val="0"/>
        <w:keepLines w:val="0"/>
        <w:pageBreakBefore w:val="0"/>
        <w:widowControl/>
        <w:kinsoku/>
        <w:wordWrap/>
        <w:overflowPunct/>
        <w:topLinePunct w:val="0"/>
        <w:autoSpaceDE w:val="0"/>
        <w:autoSpaceDN w:val="0"/>
        <w:bidi w:val="0"/>
        <w:adjustRightInd w:val="0"/>
        <w:snapToGrid w:val="0"/>
        <w:spacing w:after="13" w:line="460" w:lineRule="exact"/>
        <w:ind w:left="663" w:right="527" w:hanging="11"/>
        <w:textAlignment w:val="baseline"/>
        <w:rPr>
          <w:rFonts w:hint="eastAsia" w:ascii="楷体" w:hAnsi="楷体" w:eastAsia="楷体" w:cs="楷体"/>
          <w:sz w:val="30"/>
          <w:szCs w:val="30"/>
          <w:lang w:eastAsia="zh-CN"/>
        </w:rPr>
      </w:pPr>
    </w:p>
    <w:p w14:paraId="7728EB0B">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2020年8月31日，习近平总书记主持召开中共中央政治局会议时指出，统筹推进山水林田湖草沙综合治理、系统治理、源头治理。近年来，我国全面加强生态保护，不断加大生态修复力度，持续推进了大规模国土绿化、湿地与河湖保护修复、防沙治沙、水土保持、生物多样性保护、土地综合整治、海洋生态修复等重点生态工程，生态恶化趋势基本得到遏制，自然生态系统总体稳定向好。</w:t>
      </w:r>
    </w:p>
    <w:p w14:paraId="4AE34542">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同时，我国自然生态系统总体仍较为脆弱，生态承载力和环境容量不足，经济发展带来的生态保护压力依然较大，部分地区重发展、轻保护所积累的矛盾愈加凸显。在推进有关重点生态工程建设中，山水林田湖草沙系统治理的理念落实还不到位，仍然存在着诸多问题，影响了治理工程整体效益的发挥。主要体现在以下几个方面。</w:t>
      </w:r>
    </w:p>
    <w:p w14:paraId="6360305E">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一是多部门全社会协同联动机制还不完善，综合治理体系不健全。</w:t>
      </w:r>
      <w:r>
        <w:rPr>
          <w:rFonts w:hint="eastAsia" w:ascii="仿宋" w:hAnsi="仿宋" w:eastAsia="仿宋" w:cs="仿宋"/>
          <w:sz w:val="28"/>
          <w:szCs w:val="28"/>
          <w:lang w:eastAsia="zh-CN"/>
        </w:rPr>
        <w:t>目前我国生态工程的规划、组织和实践，还是以单类生态系统的保护和恢复为主，“种树的只管种树、治水的只管治水、护田的单纯护田”，一体化保护和修复机制并没有完全构建起来。</w:t>
      </w:r>
    </w:p>
    <w:p w14:paraId="796970C2">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二是缺乏系统观念，过度关注某一要素，导致系统不稳定或失衡、甚至崩溃。</w:t>
      </w:r>
      <w:r>
        <w:rPr>
          <w:rFonts w:hint="eastAsia" w:ascii="仿宋" w:hAnsi="仿宋" w:eastAsia="仿宋" w:cs="仿宋"/>
          <w:sz w:val="28"/>
          <w:szCs w:val="28"/>
          <w:lang w:eastAsia="zh-CN"/>
        </w:rPr>
        <w:t>一些缺水地区，过度绿化，导致防护林发生大面积“枯梢”、死亡。北方风沙危害区由于存在认识误区，植被密度过大，严重消耗地下水，也导致人工植被大面积退化甚至死亡。</w:t>
      </w:r>
    </w:p>
    <w:p w14:paraId="22798692">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三是过度追求量的扩张，生态系统总体上质量不高、功能不强。</w:t>
      </w:r>
      <w:r>
        <w:rPr>
          <w:rFonts w:hint="eastAsia" w:ascii="仿宋" w:hAnsi="仿宋" w:eastAsia="仿宋" w:cs="仿宋"/>
          <w:sz w:val="28"/>
          <w:szCs w:val="28"/>
          <w:lang w:eastAsia="zh-CN"/>
        </w:rPr>
        <w:t>乔木林每公顷蓄积量95立方米，远低于世界平均水平（131立方米）和欧洲平均水平（约180-200立方米）。90%左右的天然草原不同程度退化，中度和重度退化草原面积占60%以上，草畜矛盾突出。</w:t>
      </w:r>
    </w:p>
    <w:p w14:paraId="6B934ADF">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为此，建议：</w:t>
      </w:r>
    </w:p>
    <w:p w14:paraId="1C6AA5D8">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一是坚持部门协作、统筹协调。</w:t>
      </w:r>
      <w:r>
        <w:rPr>
          <w:rFonts w:hint="eastAsia" w:ascii="仿宋" w:hAnsi="仿宋" w:eastAsia="仿宋" w:cs="仿宋"/>
          <w:sz w:val="28"/>
          <w:szCs w:val="28"/>
          <w:lang w:eastAsia="zh-CN"/>
        </w:rPr>
        <w:t>参照京津风沙源管理模式，建立省部际联席会议，由发展改革部门统筹，自然资源、财政、水利、农业农村、林业和草原等部门参与，以国土空间用途管制为基础，统筹各类规划、资金、项目，对山水林田湖草沙进行一体化保护、一体化修复。</w:t>
      </w:r>
    </w:p>
    <w:p w14:paraId="3664F393">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二是坚持问题导向、精准施策。</w:t>
      </w:r>
      <w:r>
        <w:rPr>
          <w:rFonts w:hint="eastAsia" w:ascii="仿宋" w:hAnsi="仿宋" w:eastAsia="仿宋" w:cs="仿宋"/>
          <w:sz w:val="28"/>
          <w:szCs w:val="28"/>
          <w:lang w:eastAsia="zh-CN"/>
        </w:rPr>
        <w:t>建立健全生态系统健康评价技术体系，全面推行生态系统健康评价制度。围绕各个重点区域、重点领域的突出问题，以问题为导向实施生态治理，确定系统治理方案和措施，找准症结，对症下药，提升治理的针对性和有效性。</w:t>
      </w:r>
    </w:p>
    <w:p w14:paraId="7D3F78E6">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三是坚持尊重自然、科学治理。</w:t>
      </w:r>
      <w:r>
        <w:rPr>
          <w:rFonts w:hint="eastAsia" w:ascii="仿宋" w:hAnsi="仿宋" w:eastAsia="仿宋" w:cs="仿宋"/>
          <w:sz w:val="28"/>
          <w:szCs w:val="28"/>
          <w:lang w:eastAsia="zh-CN"/>
        </w:rPr>
        <w:t>以水资源承载力为约束条件，做到“以水定绿、以水定林、量水而行”，同时要摒弃以往“重乔木轻灌草”“任何条件都应长满植被”的陈旧和不科学观念，宜林则林、宜灌则灌、宜草则草、宜田则田、宜湿则湿、宜荒则荒、宜沙则沙。</w:t>
      </w:r>
    </w:p>
    <w:p w14:paraId="214F37B4">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四是坚持量质并重、以质为先。</w:t>
      </w:r>
      <w:r>
        <w:rPr>
          <w:rFonts w:hint="eastAsia" w:ascii="仿宋" w:hAnsi="仿宋" w:eastAsia="仿宋" w:cs="仿宋"/>
          <w:sz w:val="28"/>
          <w:szCs w:val="28"/>
          <w:lang w:eastAsia="zh-CN"/>
        </w:rPr>
        <w:t>通过高质量建设重大工程，来促进自然生态系统从量变到质变。持续实施京津风沙源治理、退耕还林还草、三北防护林建设等重大生态治理工程，加大退化林修复，加强抚育经营，提高森林植被质量，提升生态功能。</w:t>
      </w:r>
    </w:p>
    <w:p w14:paraId="0DE5CF8B">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五是坚持三生共赢、绿色发展。</w:t>
      </w:r>
      <w:r>
        <w:rPr>
          <w:rFonts w:hint="eastAsia" w:ascii="仿宋" w:hAnsi="仿宋" w:eastAsia="仿宋" w:cs="仿宋"/>
          <w:sz w:val="28"/>
          <w:szCs w:val="28"/>
          <w:lang w:eastAsia="zh-CN"/>
        </w:rPr>
        <w:t>以高质量发展为根本要求，以供给侧结构性改革为主线，有计划地发展特色经济林、林下经济、森林康养等林草特色产业，建立起适宜自然资源禀赋和良性循环的生态经济发展模式，在发展中保护，在保护中发展。</w:t>
      </w:r>
    </w:p>
    <w:p w14:paraId="089FCAC3">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六是坚持精准监测、量化评估。</w:t>
      </w:r>
      <w:r>
        <w:rPr>
          <w:rFonts w:hint="eastAsia" w:ascii="仿宋" w:hAnsi="仿宋" w:eastAsia="仿宋" w:cs="仿宋"/>
          <w:sz w:val="28"/>
          <w:szCs w:val="28"/>
          <w:lang w:eastAsia="zh-CN"/>
        </w:rPr>
        <w:t>整合分属于各部门的监测队伍和资源，制定与完善技术标准、规程规范和管理办法。构建天地一体化监测体系，开展山水林田湖草沙生命共同体承载能力、适应性、脆弱性、敏感性评价，为山水林田湖草沙系统治理奠定坚实的科学数据基础。</w:t>
      </w:r>
    </w:p>
    <w:p w14:paraId="08BCDC20">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七是坚持需求导向、创新驱动。</w:t>
      </w:r>
      <w:r>
        <w:rPr>
          <w:rFonts w:hint="eastAsia" w:ascii="仿宋" w:hAnsi="仿宋" w:eastAsia="仿宋" w:cs="仿宋"/>
          <w:sz w:val="28"/>
          <w:szCs w:val="28"/>
          <w:lang w:eastAsia="zh-CN"/>
        </w:rPr>
        <w:t>以生态保护修复一线需求为导向，深化科研项目立项论证制度改革，自下而上汇聚亟需解决的关键技术难题，统筹中央、地方、企业和社会科技资源，协同开展技术攻关，加快技术集成与推广应用，为山水林田湖草沙系统治理提供有力支撑。</w:t>
      </w:r>
    </w:p>
    <w:p w14:paraId="0A06C6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08" w:lineRule="atLeast"/>
        <w:ind w:left="0" w:right="0" w:firstLine="0"/>
        <w:jc w:val="righ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材料来源：《</w:t>
      </w:r>
      <w:r>
        <w:rPr>
          <w:rFonts w:hint="eastAsia" w:ascii="楷体" w:hAnsi="楷体" w:eastAsia="楷体" w:cs="楷体"/>
          <w:b w:val="0"/>
          <w:bCs/>
          <w:snapToGrid w:val="0"/>
          <w:color w:val="000000"/>
          <w:kern w:val="0"/>
          <w:sz w:val="28"/>
          <w:szCs w:val="28"/>
          <w:lang w:val="en-US" w:eastAsia="zh-CN" w:bidi="ar-SA"/>
        </w:rPr>
        <w:t>全国政协2021年度好提案选编》</w:t>
      </w:r>
    </w:p>
    <w:p w14:paraId="3078E975">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p>
    <w:p w14:paraId="20DE6FDA">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F11CF"/>
    <w:rsid w:val="13B73CB1"/>
    <w:rsid w:val="194144F0"/>
    <w:rsid w:val="55923E23"/>
    <w:rsid w:val="576F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3015</Words>
  <Characters>3062</Characters>
  <Lines>0</Lines>
  <Paragraphs>0</Paragraphs>
  <TotalTime>3</TotalTime>
  <ScaleCrop>false</ScaleCrop>
  <LinksUpToDate>false</LinksUpToDate>
  <CharactersWithSpaces>3066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2025-05-14T09:47:00Z</dcterms:created>
  <dc:creator>李木子</dc:creator>
  <cp:lastModifiedBy>要不要一起数星星呐✨</cp:lastModifiedBy>
  <dcterms:modified xsi:type="dcterms:W3CDTF">2026-03-23T12:12:52Z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900696045D3444AFB91DE2FC1167F185_13</vt:lpwstr>
  </property>
</Properties>
</file>