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5902" w14:textId="77777777" w:rsidR="00954EDF" w:rsidRPr="00836502" w:rsidRDefault="00954EDF" w:rsidP="00836502">
      <w:pPr>
        <w:spacing w:line="360" w:lineRule="auto"/>
        <w:rPr>
          <w:rFonts w:ascii="宋体" w:eastAsia="宋体" w:hAnsi="宋体" w:hint="eastAsia"/>
          <w:sz w:val="24"/>
          <w:szCs w:val="24"/>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88"/>
        <w:gridCol w:w="7907"/>
      </w:tblGrid>
      <w:tr w:rsidR="002E7377" w:rsidRPr="00836502" w14:paraId="78BF58FE" w14:textId="77777777" w:rsidTr="001B5B9F">
        <w:trPr>
          <w:trHeight w:val="280"/>
        </w:trPr>
        <w:tc>
          <w:tcPr>
            <w:tcW w:w="988" w:type="dxa"/>
            <w:noWrap/>
            <w:vAlign w:val="center"/>
          </w:tcPr>
          <w:p w14:paraId="34EB8035" w14:textId="011312C8"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姓</w:t>
            </w:r>
            <w:r w:rsidR="00BD5F8E" w:rsidRPr="00836502">
              <w:rPr>
                <w:rFonts w:ascii="宋体" w:eastAsia="宋体" w:hAnsi="宋体" w:cs="宋体" w:hint="eastAsia"/>
                <w:color w:val="000000"/>
                <w:kern w:val="0"/>
                <w:sz w:val="24"/>
                <w:szCs w:val="24"/>
              </w:rPr>
              <w:t xml:space="preserve">  </w:t>
            </w:r>
            <w:r w:rsidRPr="00836502">
              <w:rPr>
                <w:rFonts w:ascii="宋体" w:eastAsia="宋体" w:hAnsi="宋体" w:cs="宋体" w:hint="eastAsia"/>
                <w:color w:val="000000"/>
                <w:kern w:val="0"/>
                <w:sz w:val="24"/>
                <w:szCs w:val="24"/>
              </w:rPr>
              <w:t>名</w:t>
            </w:r>
          </w:p>
        </w:tc>
        <w:tc>
          <w:tcPr>
            <w:tcW w:w="788" w:type="dxa"/>
            <w:noWrap/>
            <w:vAlign w:val="center"/>
          </w:tcPr>
          <w:p w14:paraId="49A2440D"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成果类型</w:t>
            </w:r>
          </w:p>
        </w:tc>
        <w:tc>
          <w:tcPr>
            <w:tcW w:w="7907" w:type="dxa"/>
            <w:noWrap/>
            <w:vAlign w:val="center"/>
          </w:tcPr>
          <w:p w14:paraId="7119758B"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具体内容</w:t>
            </w:r>
          </w:p>
        </w:tc>
      </w:tr>
      <w:tr w:rsidR="002E7377" w:rsidRPr="00836502" w14:paraId="19B6337C" w14:textId="77777777" w:rsidTr="001B5B9F">
        <w:tc>
          <w:tcPr>
            <w:tcW w:w="988" w:type="dxa"/>
            <w:vMerge w:val="restart"/>
            <w:noWrap/>
            <w:vAlign w:val="center"/>
          </w:tcPr>
          <w:p w14:paraId="66AD0CD0"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highlight w:val="yellow"/>
              </w:rPr>
            </w:pPr>
            <w:r w:rsidRPr="00836502">
              <w:rPr>
                <w:rFonts w:ascii="宋体" w:eastAsia="宋体" w:hAnsi="宋体" w:cs="宋体" w:hint="eastAsia"/>
                <w:color w:val="000000"/>
                <w:kern w:val="0"/>
                <w:sz w:val="24"/>
                <w:szCs w:val="24"/>
              </w:rPr>
              <w:t>王雅茜</w:t>
            </w:r>
          </w:p>
        </w:tc>
        <w:tc>
          <w:tcPr>
            <w:tcW w:w="788" w:type="dxa"/>
            <w:tcBorders>
              <w:bottom w:val="single" w:sz="4" w:space="0" w:color="auto"/>
            </w:tcBorders>
            <w:noWrap/>
            <w:vAlign w:val="center"/>
          </w:tcPr>
          <w:p w14:paraId="17D16454"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刊物发表</w:t>
            </w:r>
          </w:p>
        </w:tc>
        <w:tc>
          <w:tcPr>
            <w:tcW w:w="7907" w:type="dxa"/>
            <w:vAlign w:val="center"/>
          </w:tcPr>
          <w:p w14:paraId="5702990C" w14:textId="77777777" w:rsidR="002E7377" w:rsidRPr="00836502" w:rsidRDefault="002E7377" w:rsidP="00836502">
            <w:pPr>
              <w:widowControl/>
              <w:numPr>
                <w:ilvl w:val="0"/>
                <w:numId w:val="2"/>
              </w:numPr>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郝琳琳、王雅茜:《促进特殊需要信托高质量发展的税法保障》，载《残疾人研究》2025年第3期（CSSCI）</w:t>
            </w:r>
          </w:p>
        </w:tc>
      </w:tr>
      <w:tr w:rsidR="002E7377" w:rsidRPr="00836502" w14:paraId="60C01822" w14:textId="77777777" w:rsidTr="001B5B9F">
        <w:trPr>
          <w:trHeight w:val="315"/>
        </w:trPr>
        <w:tc>
          <w:tcPr>
            <w:tcW w:w="988" w:type="dxa"/>
            <w:vMerge/>
            <w:noWrap/>
            <w:vAlign w:val="center"/>
          </w:tcPr>
          <w:p w14:paraId="7DE1D284"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highlight w:val="yellow"/>
              </w:rPr>
            </w:pPr>
          </w:p>
        </w:tc>
        <w:tc>
          <w:tcPr>
            <w:tcW w:w="788" w:type="dxa"/>
            <w:tcBorders>
              <w:bottom w:val="single" w:sz="4" w:space="0" w:color="auto"/>
            </w:tcBorders>
            <w:noWrap/>
            <w:vAlign w:val="center"/>
          </w:tcPr>
          <w:p w14:paraId="5B56142D"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获奖论文</w:t>
            </w:r>
          </w:p>
        </w:tc>
        <w:tc>
          <w:tcPr>
            <w:tcW w:w="7907" w:type="dxa"/>
            <w:vAlign w:val="center"/>
          </w:tcPr>
          <w:p w14:paraId="1050F6DD" w14:textId="2B5A5123" w:rsidR="002E7377" w:rsidRPr="00836502" w:rsidRDefault="00BD5F8E"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2</w:t>
            </w:r>
            <w:r w:rsidR="002E7377" w:rsidRPr="00836502">
              <w:rPr>
                <w:rFonts w:ascii="宋体" w:eastAsia="宋体" w:hAnsi="宋体" w:cs="宋体" w:hint="eastAsia"/>
                <w:color w:val="000000"/>
                <w:kern w:val="0"/>
                <w:sz w:val="24"/>
                <w:szCs w:val="24"/>
              </w:rPr>
              <w:t>.《税务行政处罚中裁量权的法治规训——基于裁量基准的实践检视与规范改进》，获得第十八届“中部崛起法治论坛”二等奖；</w:t>
            </w:r>
          </w:p>
          <w:p w14:paraId="0D1B4113" w14:textId="42CE1A5E" w:rsidR="002E7377" w:rsidRPr="00836502" w:rsidRDefault="00BD5F8E"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3</w:t>
            </w:r>
            <w:r w:rsidR="002E7377" w:rsidRPr="00836502">
              <w:rPr>
                <w:rFonts w:ascii="宋体" w:eastAsia="宋体" w:hAnsi="宋体" w:cs="宋体" w:hint="eastAsia"/>
                <w:color w:val="000000"/>
                <w:kern w:val="0"/>
                <w:sz w:val="24"/>
                <w:szCs w:val="24"/>
              </w:rPr>
              <w:t>.《NFT数字藏品课税：实践探索、现实困境与解决之策》，获得湖北省法学会财税法学研究会2023年学术年会青年优秀论文评选一等奖；</w:t>
            </w:r>
          </w:p>
          <w:p w14:paraId="699C1FA3" w14:textId="762F3BF1" w:rsidR="002E7377" w:rsidRPr="00836502" w:rsidRDefault="00BD5F8E"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4</w:t>
            </w:r>
            <w:r w:rsidR="002E7377" w:rsidRPr="00836502">
              <w:rPr>
                <w:rFonts w:ascii="宋体" w:eastAsia="宋体" w:hAnsi="宋体" w:cs="宋体" w:hint="eastAsia"/>
                <w:color w:val="000000"/>
                <w:kern w:val="0"/>
                <w:sz w:val="24"/>
                <w:szCs w:val="24"/>
              </w:rPr>
              <w:t>.《人工智能时代“机器换人”现象的税法制度因应》，获第七届金融税法高峰论坛学术研讨会征文评奖二等奖；</w:t>
            </w:r>
          </w:p>
          <w:p w14:paraId="257690B9" w14:textId="73B1A857" w:rsidR="002E7377" w:rsidRPr="00836502" w:rsidRDefault="00BD5F8E"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5</w:t>
            </w:r>
            <w:r w:rsidR="002E7377" w:rsidRPr="00836502">
              <w:rPr>
                <w:rFonts w:ascii="宋体" w:eastAsia="宋体" w:hAnsi="宋体" w:cs="宋体" w:hint="eastAsia"/>
                <w:color w:val="000000"/>
                <w:kern w:val="0"/>
                <w:sz w:val="24"/>
                <w:szCs w:val="24"/>
              </w:rPr>
              <w:t>.《促进特殊需要信托高质量发展的税法保障》，获湖北省法学会财税法学研究会2024年学术年会青年优秀论文评选三等奖；</w:t>
            </w:r>
          </w:p>
          <w:p w14:paraId="509AE13F" w14:textId="29A416B4" w:rsidR="002E7377" w:rsidRPr="00836502" w:rsidRDefault="00BD5F8E"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6</w:t>
            </w:r>
            <w:r w:rsidR="002E7377" w:rsidRPr="00836502">
              <w:rPr>
                <w:rFonts w:ascii="宋体" w:eastAsia="宋体" w:hAnsi="宋体" w:cs="宋体" w:hint="eastAsia"/>
                <w:color w:val="000000"/>
                <w:kern w:val="0"/>
                <w:sz w:val="24"/>
                <w:szCs w:val="24"/>
              </w:rPr>
              <w:t>.主持中南</w:t>
            </w:r>
            <w:proofErr w:type="gramStart"/>
            <w:r w:rsidR="002E7377" w:rsidRPr="00836502">
              <w:rPr>
                <w:rFonts w:ascii="宋体" w:eastAsia="宋体" w:hAnsi="宋体" w:cs="宋体" w:hint="eastAsia"/>
                <w:color w:val="000000"/>
                <w:kern w:val="0"/>
                <w:sz w:val="24"/>
                <w:szCs w:val="24"/>
              </w:rPr>
              <w:t>财经政法</w:t>
            </w:r>
            <w:proofErr w:type="gramEnd"/>
            <w:r w:rsidR="002E7377" w:rsidRPr="00836502">
              <w:rPr>
                <w:rFonts w:ascii="宋体" w:eastAsia="宋体" w:hAnsi="宋体" w:cs="宋体" w:hint="eastAsia"/>
                <w:color w:val="000000"/>
                <w:kern w:val="0"/>
                <w:sz w:val="24"/>
                <w:szCs w:val="24"/>
              </w:rPr>
              <w:t>大学法学院2024年度研究生科研创新平台项目（已顺利结项）</w:t>
            </w:r>
          </w:p>
        </w:tc>
      </w:tr>
      <w:tr w:rsidR="002E7377" w:rsidRPr="00836502" w14:paraId="5A772620" w14:textId="77777777" w:rsidTr="001B5B9F">
        <w:trPr>
          <w:trHeight w:val="840"/>
        </w:trPr>
        <w:tc>
          <w:tcPr>
            <w:tcW w:w="988" w:type="dxa"/>
            <w:noWrap/>
            <w:vAlign w:val="center"/>
          </w:tcPr>
          <w:p w14:paraId="5EB6F0B5"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曾照茹</w:t>
            </w:r>
          </w:p>
        </w:tc>
        <w:tc>
          <w:tcPr>
            <w:tcW w:w="788" w:type="dxa"/>
            <w:noWrap/>
            <w:vAlign w:val="center"/>
          </w:tcPr>
          <w:p w14:paraId="2B3D4B3D"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刊物发表</w:t>
            </w:r>
          </w:p>
        </w:tc>
        <w:tc>
          <w:tcPr>
            <w:tcW w:w="7907" w:type="dxa"/>
            <w:vAlign w:val="center"/>
          </w:tcPr>
          <w:p w14:paraId="697C23D2" w14:textId="4D3710E2" w:rsidR="002E7377" w:rsidRPr="00836502" w:rsidRDefault="002E7377" w:rsidP="00836502">
            <w:pPr>
              <w:spacing w:line="360" w:lineRule="auto"/>
              <w:ind w:right="340"/>
              <w:textAlignment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1.《数智化赋能税收监管的规范逻辑重构》，《税收经济研究》2025年第6期</w:t>
            </w:r>
          </w:p>
        </w:tc>
      </w:tr>
      <w:tr w:rsidR="002E7377" w:rsidRPr="00836502" w14:paraId="4DFB01DD" w14:textId="77777777" w:rsidTr="001B5B9F">
        <w:trPr>
          <w:trHeight w:val="3435"/>
        </w:trPr>
        <w:tc>
          <w:tcPr>
            <w:tcW w:w="988" w:type="dxa"/>
            <w:vAlign w:val="center"/>
          </w:tcPr>
          <w:p w14:paraId="3A57E9C0"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林少龙</w:t>
            </w:r>
          </w:p>
        </w:tc>
        <w:tc>
          <w:tcPr>
            <w:tcW w:w="788" w:type="dxa"/>
            <w:vAlign w:val="center"/>
          </w:tcPr>
          <w:p w14:paraId="59AF35E7"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获奖论文</w:t>
            </w:r>
          </w:p>
        </w:tc>
        <w:tc>
          <w:tcPr>
            <w:tcW w:w="7907" w:type="dxa"/>
            <w:vAlign w:val="center"/>
          </w:tcPr>
          <w:p w14:paraId="31B3BFE0"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1.《论纳税信用修复在民营企业破产重整中的法治优化》，获河南省法学会经济法学研究会2025年年会暨“新时代民营经济高质量发展的经济法治保障”学术研讨会征文一等奖</w:t>
            </w:r>
          </w:p>
          <w:p w14:paraId="57D4CFDC"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2.《地方专项债资金使用风险的生成逻辑与规制进路》，获湖南省法学</w:t>
            </w:r>
            <w:proofErr w:type="gramStart"/>
            <w:r w:rsidRPr="00836502">
              <w:rPr>
                <w:rFonts w:ascii="宋体" w:eastAsia="宋体" w:hAnsi="宋体" w:cs="宋体" w:hint="eastAsia"/>
                <w:color w:val="000000"/>
                <w:kern w:val="0"/>
                <w:sz w:val="24"/>
                <w:szCs w:val="24"/>
              </w:rPr>
              <w:t>会政府</w:t>
            </w:r>
            <w:proofErr w:type="gramEnd"/>
            <w:r w:rsidRPr="00836502">
              <w:rPr>
                <w:rFonts w:ascii="宋体" w:eastAsia="宋体" w:hAnsi="宋体" w:cs="宋体" w:hint="eastAsia"/>
                <w:color w:val="000000"/>
                <w:kern w:val="0"/>
                <w:sz w:val="24"/>
                <w:szCs w:val="24"/>
              </w:rPr>
              <w:t>投融资法治研究会2025年年会优秀论文一等奖并进行主题报告</w:t>
            </w:r>
          </w:p>
          <w:p w14:paraId="1A3722CF"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3.《利益衡平向度下数据交易课税的法理证成与路径选择》，获广西经济法学会2024年学术年会暨第二十届经济法理论研讨会优秀论文二等奖</w:t>
            </w:r>
          </w:p>
          <w:p w14:paraId="503F2AA7"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 xml:space="preserve">4.《对赌协议中业绩补偿涉税问题的理论分析与实践路径》，获湖北省法学会财税法学研究会2024年年会青年优秀论文三等奖 </w:t>
            </w:r>
          </w:p>
          <w:p w14:paraId="22541F23"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5.《地方政府专项债券偿付风险的生成逻辑与治理路径》，获天津市法学会财税法学研究会2024年年会优秀论文三等奖</w:t>
            </w:r>
          </w:p>
          <w:p w14:paraId="103B4CB9"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6.《个人所得税法中“经营所得税目”的界定与挑战综述》，获“经科杯”山东财经大学第九届研究生学术节文献综述大赛二等奖并进行主题报告</w:t>
            </w:r>
          </w:p>
        </w:tc>
      </w:tr>
      <w:tr w:rsidR="002E7377" w:rsidRPr="00836502" w14:paraId="5777B46D" w14:textId="77777777" w:rsidTr="001B5B9F">
        <w:trPr>
          <w:trHeight w:val="90"/>
        </w:trPr>
        <w:tc>
          <w:tcPr>
            <w:tcW w:w="988" w:type="dxa"/>
            <w:noWrap/>
            <w:vAlign w:val="center"/>
          </w:tcPr>
          <w:p w14:paraId="562CB281"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highlight w:val="yellow"/>
              </w:rPr>
            </w:pPr>
            <w:proofErr w:type="gramStart"/>
            <w:r w:rsidRPr="00836502">
              <w:rPr>
                <w:rFonts w:ascii="宋体" w:eastAsia="宋体" w:hAnsi="宋体" w:cs="宋体" w:hint="eastAsia"/>
                <w:color w:val="000000"/>
                <w:kern w:val="0"/>
                <w:sz w:val="24"/>
                <w:szCs w:val="24"/>
              </w:rPr>
              <w:lastRenderedPageBreak/>
              <w:t>鲁嘉仪</w:t>
            </w:r>
            <w:proofErr w:type="gramEnd"/>
          </w:p>
        </w:tc>
        <w:tc>
          <w:tcPr>
            <w:tcW w:w="788" w:type="dxa"/>
            <w:noWrap/>
            <w:vAlign w:val="center"/>
          </w:tcPr>
          <w:p w14:paraId="0BC8E226"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获奖论文</w:t>
            </w:r>
          </w:p>
        </w:tc>
        <w:tc>
          <w:tcPr>
            <w:tcW w:w="7907" w:type="dxa"/>
            <w:noWrap/>
            <w:vAlign w:val="center"/>
          </w:tcPr>
          <w:p w14:paraId="13079DC7" w14:textId="77777777" w:rsidR="002E7377" w:rsidRPr="00836502" w:rsidRDefault="002E7377" w:rsidP="00836502">
            <w:pPr>
              <w:spacing w:line="360" w:lineRule="auto"/>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1.《智能税收征管的法律界限之比例原则适用研究》，获2025年重庆市法学会财税法学研究会三等奖</w:t>
            </w:r>
          </w:p>
          <w:p w14:paraId="349872C5" w14:textId="77777777" w:rsidR="002E7377" w:rsidRPr="00836502" w:rsidRDefault="002E7377" w:rsidP="00836502">
            <w:pPr>
              <w:spacing w:line="360" w:lineRule="auto"/>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2.《“以数治税”背景下智能税收征管的法经济界限》，获2025年湖北省法学会法经济学研究会优秀奖</w:t>
            </w:r>
          </w:p>
          <w:p w14:paraId="25A608C5" w14:textId="288A6AC8" w:rsidR="002E7377" w:rsidRPr="00836502" w:rsidRDefault="002E7377" w:rsidP="00836502">
            <w:pPr>
              <w:spacing w:line="360" w:lineRule="auto"/>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3.主持中南</w:t>
            </w:r>
            <w:proofErr w:type="gramStart"/>
            <w:r w:rsidRPr="00836502">
              <w:rPr>
                <w:rFonts w:ascii="宋体" w:eastAsia="宋体" w:hAnsi="宋体" w:cs="宋体" w:hint="eastAsia"/>
                <w:color w:val="000000"/>
                <w:kern w:val="0"/>
                <w:sz w:val="24"/>
                <w:szCs w:val="24"/>
              </w:rPr>
              <w:t>财经政法</w:t>
            </w:r>
            <w:proofErr w:type="gramEnd"/>
            <w:r w:rsidRPr="00836502">
              <w:rPr>
                <w:rFonts w:ascii="宋体" w:eastAsia="宋体" w:hAnsi="宋体" w:cs="宋体" w:hint="eastAsia"/>
                <w:color w:val="000000"/>
                <w:kern w:val="0"/>
                <w:sz w:val="24"/>
                <w:szCs w:val="24"/>
              </w:rPr>
              <w:t>大学法学院研究生科研创新平台2025 年度研究生科研创新平台项目《税收征管应用人工智能的功能反思与法治因应》</w:t>
            </w:r>
          </w:p>
        </w:tc>
      </w:tr>
      <w:tr w:rsidR="002E7377" w:rsidRPr="00836502" w14:paraId="21D1FB21" w14:textId="77777777" w:rsidTr="001B5B9F">
        <w:trPr>
          <w:trHeight w:val="840"/>
        </w:trPr>
        <w:tc>
          <w:tcPr>
            <w:tcW w:w="988" w:type="dxa"/>
            <w:vAlign w:val="center"/>
          </w:tcPr>
          <w:p w14:paraId="300B732E" w14:textId="14918862" w:rsidR="002E7377" w:rsidRPr="00836502" w:rsidRDefault="002E7377" w:rsidP="00836502">
            <w:pPr>
              <w:widowControl/>
              <w:spacing w:line="360" w:lineRule="auto"/>
              <w:jc w:val="center"/>
              <w:rPr>
                <w:rFonts w:ascii="宋体" w:eastAsia="宋体" w:hAnsi="宋体" w:cs="宋体" w:hint="eastAsia"/>
                <w:color w:val="000000"/>
                <w:kern w:val="0"/>
                <w:sz w:val="24"/>
                <w:szCs w:val="24"/>
                <w:highlight w:val="yellow"/>
              </w:rPr>
            </w:pPr>
            <w:r w:rsidRPr="00836502">
              <w:rPr>
                <w:rFonts w:ascii="宋体" w:eastAsia="宋体" w:hAnsi="宋体" w:cs="宋体" w:hint="eastAsia"/>
                <w:color w:val="000000"/>
                <w:kern w:val="0"/>
                <w:sz w:val="24"/>
                <w:szCs w:val="24"/>
              </w:rPr>
              <w:t xml:space="preserve">张  </w:t>
            </w:r>
            <w:proofErr w:type="gramStart"/>
            <w:r w:rsidRPr="00836502">
              <w:rPr>
                <w:rFonts w:ascii="宋体" w:eastAsia="宋体" w:hAnsi="宋体" w:cs="宋体" w:hint="eastAsia"/>
                <w:color w:val="000000"/>
                <w:kern w:val="0"/>
                <w:sz w:val="24"/>
                <w:szCs w:val="24"/>
              </w:rPr>
              <w:t>冉</w:t>
            </w:r>
            <w:proofErr w:type="gramEnd"/>
          </w:p>
        </w:tc>
        <w:tc>
          <w:tcPr>
            <w:tcW w:w="788" w:type="dxa"/>
            <w:vAlign w:val="center"/>
          </w:tcPr>
          <w:p w14:paraId="619F1F7F"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获奖论文</w:t>
            </w:r>
          </w:p>
        </w:tc>
        <w:tc>
          <w:tcPr>
            <w:tcW w:w="7907" w:type="dxa"/>
            <w:vAlign w:val="center"/>
          </w:tcPr>
          <w:p w14:paraId="16EA176D"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1.《法院整合视域下破产重整企业债务豁免所得的税制检视与重构》，获湖北省法学会财税法学研究会2025年学术会议青年论文一等奖，并受邀发言。</w:t>
            </w:r>
          </w:p>
          <w:p w14:paraId="382B144B" w14:textId="5566DC25"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2.参与中南</w:t>
            </w:r>
            <w:proofErr w:type="gramStart"/>
            <w:r w:rsidRPr="00836502">
              <w:rPr>
                <w:rFonts w:ascii="宋体" w:eastAsia="宋体" w:hAnsi="宋体" w:cs="宋体" w:hint="eastAsia"/>
                <w:color w:val="000000"/>
                <w:kern w:val="0"/>
                <w:sz w:val="24"/>
                <w:szCs w:val="24"/>
              </w:rPr>
              <w:t>财经政法</w:t>
            </w:r>
            <w:proofErr w:type="gramEnd"/>
            <w:r w:rsidRPr="00836502">
              <w:rPr>
                <w:rFonts w:ascii="宋体" w:eastAsia="宋体" w:hAnsi="宋体" w:cs="宋体" w:hint="eastAsia"/>
                <w:color w:val="000000"/>
                <w:kern w:val="0"/>
                <w:sz w:val="24"/>
                <w:szCs w:val="24"/>
              </w:rPr>
              <w:t>大学研究生创新教育计划项目《领域法规网下税法与多部门法“衔接”的学理展开与实践逻辑》的课题研究，并顺利结项。</w:t>
            </w:r>
          </w:p>
        </w:tc>
      </w:tr>
      <w:tr w:rsidR="002E7377" w:rsidRPr="00836502" w14:paraId="073EFA1A" w14:textId="77777777" w:rsidTr="001B5B9F">
        <w:trPr>
          <w:trHeight w:val="840"/>
        </w:trPr>
        <w:tc>
          <w:tcPr>
            <w:tcW w:w="988" w:type="dxa"/>
            <w:vAlign w:val="center"/>
          </w:tcPr>
          <w:p w14:paraId="3746594F" w14:textId="2B7B408A" w:rsidR="002E7377" w:rsidRPr="00836502" w:rsidRDefault="002E7377" w:rsidP="00836502">
            <w:pPr>
              <w:widowControl/>
              <w:spacing w:line="360" w:lineRule="auto"/>
              <w:jc w:val="center"/>
              <w:rPr>
                <w:rFonts w:ascii="宋体" w:eastAsia="宋体" w:hAnsi="宋体" w:cs="宋体" w:hint="eastAsia"/>
                <w:color w:val="000000"/>
                <w:kern w:val="0"/>
                <w:sz w:val="24"/>
                <w:szCs w:val="24"/>
                <w:highlight w:val="yellow"/>
              </w:rPr>
            </w:pPr>
            <w:r w:rsidRPr="00836502">
              <w:rPr>
                <w:rFonts w:ascii="宋体" w:eastAsia="宋体" w:hAnsi="宋体" w:cs="宋体" w:hint="eastAsia"/>
                <w:color w:val="000000"/>
                <w:kern w:val="0"/>
                <w:sz w:val="24"/>
                <w:szCs w:val="24"/>
              </w:rPr>
              <w:t>薛凯文</w:t>
            </w:r>
          </w:p>
        </w:tc>
        <w:tc>
          <w:tcPr>
            <w:tcW w:w="788" w:type="dxa"/>
            <w:vAlign w:val="center"/>
          </w:tcPr>
          <w:p w14:paraId="66E5EDE1"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获奖论文</w:t>
            </w:r>
          </w:p>
        </w:tc>
        <w:tc>
          <w:tcPr>
            <w:tcW w:w="7907" w:type="dxa"/>
            <w:vAlign w:val="center"/>
          </w:tcPr>
          <w:p w14:paraId="359AC65F"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 xml:space="preserve">1.《数字经济时代数据资产的企业所得税规则研究》，获湖北省法学会经济法研究会2025年学术会议二等奖 </w:t>
            </w:r>
          </w:p>
          <w:p w14:paraId="2FE93039"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2.《数据资产课征企业所得税的现实困境与制度构建》，获湖南省法学会法学理论研究会2025年学术会议优秀奖</w:t>
            </w:r>
          </w:p>
        </w:tc>
      </w:tr>
      <w:tr w:rsidR="002E7377" w:rsidRPr="00836502" w14:paraId="1C4DD673" w14:textId="77777777" w:rsidTr="001B5B9F">
        <w:trPr>
          <w:trHeight w:val="840"/>
        </w:trPr>
        <w:tc>
          <w:tcPr>
            <w:tcW w:w="988" w:type="dxa"/>
            <w:vAlign w:val="center"/>
          </w:tcPr>
          <w:p w14:paraId="0E4BFE77"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廖怀逸</w:t>
            </w:r>
          </w:p>
        </w:tc>
        <w:tc>
          <w:tcPr>
            <w:tcW w:w="788" w:type="dxa"/>
            <w:vAlign w:val="center"/>
          </w:tcPr>
          <w:p w14:paraId="2DF6D0AE"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获奖论文</w:t>
            </w:r>
          </w:p>
        </w:tc>
        <w:tc>
          <w:tcPr>
            <w:tcW w:w="7907" w:type="dxa"/>
            <w:vAlign w:val="center"/>
          </w:tcPr>
          <w:p w14:paraId="6D9906AC" w14:textId="1A36DDB3"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1. 《论债务豁免所得课税在企业破产重整中的再生悖论与化解》，获天津市法学会财税法学会研究会2025年年会优秀论文一等奖</w:t>
            </w:r>
          </w:p>
        </w:tc>
      </w:tr>
      <w:tr w:rsidR="002E7377" w:rsidRPr="00836502" w14:paraId="24BA0E2C" w14:textId="77777777" w:rsidTr="001B5B9F">
        <w:trPr>
          <w:trHeight w:val="840"/>
        </w:trPr>
        <w:tc>
          <w:tcPr>
            <w:tcW w:w="988" w:type="dxa"/>
            <w:tcBorders>
              <w:top w:val="single" w:sz="4" w:space="0" w:color="auto"/>
              <w:left w:val="single" w:sz="4" w:space="0" w:color="auto"/>
              <w:bottom w:val="single" w:sz="4" w:space="0" w:color="auto"/>
              <w:right w:val="single" w:sz="4" w:space="0" w:color="auto"/>
            </w:tcBorders>
            <w:vAlign w:val="center"/>
          </w:tcPr>
          <w:p w14:paraId="0F340D09"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黄启恒</w:t>
            </w:r>
          </w:p>
        </w:tc>
        <w:tc>
          <w:tcPr>
            <w:tcW w:w="788" w:type="dxa"/>
            <w:tcBorders>
              <w:top w:val="single" w:sz="4" w:space="0" w:color="auto"/>
              <w:left w:val="single" w:sz="4" w:space="0" w:color="auto"/>
              <w:bottom w:val="single" w:sz="4" w:space="0" w:color="auto"/>
              <w:right w:val="single" w:sz="4" w:space="0" w:color="auto"/>
            </w:tcBorders>
            <w:vAlign w:val="center"/>
          </w:tcPr>
          <w:p w14:paraId="5AE4CA51"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获奖论文</w:t>
            </w:r>
          </w:p>
        </w:tc>
        <w:tc>
          <w:tcPr>
            <w:tcW w:w="7907" w:type="dxa"/>
            <w:tcBorders>
              <w:top w:val="single" w:sz="4" w:space="0" w:color="auto"/>
              <w:left w:val="single" w:sz="4" w:space="0" w:color="auto"/>
              <w:bottom w:val="single" w:sz="4" w:space="0" w:color="auto"/>
              <w:right w:val="single" w:sz="4" w:space="0" w:color="auto"/>
            </w:tcBorders>
            <w:vAlign w:val="center"/>
          </w:tcPr>
          <w:p w14:paraId="16325A2C" w14:textId="52DC8837" w:rsidR="002E7377" w:rsidRPr="00836502" w:rsidRDefault="002E7377" w:rsidP="00836502">
            <w:pPr>
              <w:numPr>
                <w:ilvl w:val="0"/>
                <w:numId w:val="1"/>
              </w:numPr>
              <w:spacing w:line="360" w:lineRule="auto"/>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《数字时代财政竞争机制的制度再造》，获2025年湖北省财税法学研究会青年论文三等奖，并做主题发言</w:t>
            </w:r>
          </w:p>
        </w:tc>
      </w:tr>
      <w:tr w:rsidR="002E7377" w:rsidRPr="00836502" w14:paraId="31025165" w14:textId="77777777" w:rsidTr="001B5B9F">
        <w:trPr>
          <w:trHeight w:val="840"/>
        </w:trPr>
        <w:tc>
          <w:tcPr>
            <w:tcW w:w="988" w:type="dxa"/>
            <w:tcBorders>
              <w:top w:val="single" w:sz="4" w:space="0" w:color="auto"/>
              <w:left w:val="single" w:sz="4" w:space="0" w:color="auto"/>
              <w:bottom w:val="single" w:sz="4" w:space="0" w:color="auto"/>
              <w:right w:val="single" w:sz="4" w:space="0" w:color="auto"/>
            </w:tcBorders>
            <w:vAlign w:val="center"/>
          </w:tcPr>
          <w:p w14:paraId="10BE6CB4" w14:textId="6C721A14"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朱  艺</w:t>
            </w:r>
          </w:p>
        </w:tc>
        <w:tc>
          <w:tcPr>
            <w:tcW w:w="788" w:type="dxa"/>
            <w:tcBorders>
              <w:top w:val="single" w:sz="4" w:space="0" w:color="auto"/>
              <w:left w:val="single" w:sz="4" w:space="0" w:color="auto"/>
              <w:bottom w:val="single" w:sz="4" w:space="0" w:color="auto"/>
              <w:right w:val="single" w:sz="4" w:space="0" w:color="auto"/>
            </w:tcBorders>
            <w:vAlign w:val="center"/>
          </w:tcPr>
          <w:p w14:paraId="745CEA23" w14:textId="77777777" w:rsidR="002E7377" w:rsidRPr="00836502" w:rsidRDefault="002E7377"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获奖论文</w:t>
            </w:r>
          </w:p>
        </w:tc>
        <w:tc>
          <w:tcPr>
            <w:tcW w:w="7907" w:type="dxa"/>
            <w:tcBorders>
              <w:top w:val="single" w:sz="4" w:space="0" w:color="auto"/>
              <w:left w:val="single" w:sz="4" w:space="0" w:color="auto"/>
              <w:bottom w:val="single" w:sz="4" w:space="0" w:color="auto"/>
              <w:right w:val="single" w:sz="4" w:space="0" w:color="auto"/>
            </w:tcBorders>
            <w:vAlign w:val="center"/>
          </w:tcPr>
          <w:p w14:paraId="2B8F3C20" w14:textId="77777777" w:rsidR="002E7377" w:rsidRPr="00836502" w:rsidRDefault="002E7377"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1. 《税收优惠政策的公平性缺失及其改进》，获湖北省法学会财税法学研究会2025年学术会议青年论文评选三等奖</w:t>
            </w:r>
          </w:p>
        </w:tc>
      </w:tr>
      <w:tr w:rsidR="00BD5F8E" w:rsidRPr="00836502" w14:paraId="40E35F20" w14:textId="77777777" w:rsidTr="001B5B9F">
        <w:trPr>
          <w:trHeight w:val="840"/>
        </w:trPr>
        <w:tc>
          <w:tcPr>
            <w:tcW w:w="988" w:type="dxa"/>
            <w:tcBorders>
              <w:top w:val="single" w:sz="4" w:space="0" w:color="auto"/>
              <w:left w:val="single" w:sz="4" w:space="0" w:color="auto"/>
              <w:bottom w:val="single" w:sz="4" w:space="0" w:color="auto"/>
              <w:right w:val="single" w:sz="4" w:space="0" w:color="auto"/>
            </w:tcBorders>
            <w:vAlign w:val="center"/>
          </w:tcPr>
          <w:p w14:paraId="26B3E259" w14:textId="77777777" w:rsidR="00BD5F8E" w:rsidRPr="00836502" w:rsidRDefault="00BD5F8E"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孙  欣</w:t>
            </w:r>
          </w:p>
        </w:tc>
        <w:tc>
          <w:tcPr>
            <w:tcW w:w="788" w:type="dxa"/>
            <w:tcBorders>
              <w:top w:val="single" w:sz="4" w:space="0" w:color="auto"/>
              <w:left w:val="single" w:sz="4" w:space="0" w:color="auto"/>
              <w:bottom w:val="single" w:sz="4" w:space="0" w:color="auto"/>
              <w:right w:val="single" w:sz="4" w:space="0" w:color="auto"/>
            </w:tcBorders>
            <w:vAlign w:val="center"/>
          </w:tcPr>
          <w:p w14:paraId="5DFF2AD9" w14:textId="77777777" w:rsidR="00BD5F8E" w:rsidRPr="00836502" w:rsidRDefault="00BD5F8E" w:rsidP="00836502">
            <w:pPr>
              <w:widowControl/>
              <w:spacing w:line="360" w:lineRule="auto"/>
              <w:jc w:val="center"/>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获奖论文</w:t>
            </w:r>
          </w:p>
        </w:tc>
        <w:tc>
          <w:tcPr>
            <w:tcW w:w="7907" w:type="dxa"/>
            <w:tcBorders>
              <w:top w:val="single" w:sz="4" w:space="0" w:color="auto"/>
              <w:left w:val="single" w:sz="4" w:space="0" w:color="auto"/>
              <w:bottom w:val="single" w:sz="4" w:space="0" w:color="auto"/>
              <w:right w:val="single" w:sz="4" w:space="0" w:color="auto"/>
            </w:tcBorders>
            <w:vAlign w:val="center"/>
          </w:tcPr>
          <w:p w14:paraId="211BC1B7" w14:textId="77777777" w:rsidR="00BD5F8E" w:rsidRPr="00836502" w:rsidRDefault="00BD5F8E" w:rsidP="00836502">
            <w:pPr>
              <w:widowControl/>
              <w:spacing w:line="360" w:lineRule="auto"/>
              <w:jc w:val="left"/>
              <w:rPr>
                <w:rFonts w:ascii="宋体" w:eastAsia="宋体" w:hAnsi="宋体" w:cs="宋体" w:hint="eastAsia"/>
                <w:color w:val="000000"/>
                <w:kern w:val="0"/>
                <w:sz w:val="24"/>
                <w:szCs w:val="24"/>
              </w:rPr>
            </w:pPr>
            <w:r w:rsidRPr="00836502">
              <w:rPr>
                <w:rFonts w:ascii="宋体" w:eastAsia="宋体" w:hAnsi="宋体" w:cs="宋体" w:hint="eastAsia"/>
                <w:color w:val="000000"/>
                <w:kern w:val="0"/>
                <w:sz w:val="24"/>
                <w:szCs w:val="24"/>
              </w:rPr>
              <w:t>1.《“以数治税”背景下自然人纳税人涉税信息保护研究》，获第十八届“中部崛起法治论坛”优秀奖</w:t>
            </w:r>
          </w:p>
        </w:tc>
      </w:tr>
    </w:tbl>
    <w:p w14:paraId="67CBC910" w14:textId="77777777" w:rsidR="00024DF6" w:rsidRPr="00836502" w:rsidRDefault="00024DF6" w:rsidP="00836502">
      <w:pPr>
        <w:spacing w:line="360" w:lineRule="auto"/>
        <w:rPr>
          <w:rFonts w:ascii="宋体" w:eastAsia="宋体" w:hAnsi="宋体" w:cs="宋体" w:hint="eastAsia"/>
          <w:color w:val="000000"/>
          <w:kern w:val="0"/>
          <w:sz w:val="24"/>
          <w:szCs w:val="24"/>
        </w:rPr>
      </w:pPr>
    </w:p>
    <w:p w14:paraId="1FEAA440" w14:textId="77777777" w:rsidR="00024DF6" w:rsidRPr="00836502" w:rsidRDefault="00024DF6" w:rsidP="00836502">
      <w:pPr>
        <w:spacing w:line="360" w:lineRule="auto"/>
        <w:rPr>
          <w:rFonts w:ascii="宋体" w:eastAsia="宋体" w:hAnsi="宋体" w:cs="宋体" w:hint="eastAsia"/>
          <w:color w:val="000000"/>
          <w:kern w:val="0"/>
          <w:sz w:val="24"/>
          <w:szCs w:val="24"/>
        </w:rPr>
      </w:pPr>
    </w:p>
    <w:p w14:paraId="46877D7B" w14:textId="0FEE0470" w:rsidR="00954EDF" w:rsidRPr="00836502" w:rsidRDefault="00954EDF" w:rsidP="00836502">
      <w:pPr>
        <w:spacing w:line="360" w:lineRule="auto"/>
        <w:rPr>
          <w:rFonts w:ascii="宋体" w:eastAsia="宋体" w:hAnsi="宋体" w:cs="宋体" w:hint="eastAsia"/>
          <w:color w:val="000000"/>
          <w:kern w:val="0"/>
          <w:sz w:val="24"/>
          <w:szCs w:val="24"/>
        </w:rPr>
      </w:pPr>
    </w:p>
    <w:sectPr w:rsidR="00954EDF" w:rsidRPr="0083650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8FB3" w14:textId="77777777" w:rsidR="00D35368" w:rsidRDefault="00D35368" w:rsidP="00024DF6">
      <w:pPr>
        <w:rPr>
          <w:rFonts w:hint="eastAsia"/>
        </w:rPr>
      </w:pPr>
      <w:r>
        <w:separator/>
      </w:r>
    </w:p>
  </w:endnote>
  <w:endnote w:type="continuationSeparator" w:id="0">
    <w:p w14:paraId="06C06E89" w14:textId="77777777" w:rsidR="00D35368" w:rsidRDefault="00D35368" w:rsidP="00024D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6F0B" w14:textId="77777777" w:rsidR="00D35368" w:rsidRDefault="00D35368" w:rsidP="00024DF6">
      <w:pPr>
        <w:rPr>
          <w:rFonts w:hint="eastAsia"/>
        </w:rPr>
      </w:pPr>
      <w:r>
        <w:separator/>
      </w:r>
    </w:p>
  </w:footnote>
  <w:footnote w:type="continuationSeparator" w:id="0">
    <w:p w14:paraId="50BAE092" w14:textId="77777777" w:rsidR="00D35368" w:rsidRDefault="00D35368" w:rsidP="00024DF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22E7BA"/>
    <w:multiLevelType w:val="singleLevel"/>
    <w:tmpl w:val="A722E7BA"/>
    <w:lvl w:ilvl="0">
      <w:start w:val="1"/>
      <w:numFmt w:val="decimal"/>
      <w:lvlText w:val="%1."/>
      <w:lvlJc w:val="left"/>
      <w:pPr>
        <w:tabs>
          <w:tab w:val="left" w:pos="312"/>
        </w:tabs>
      </w:pPr>
    </w:lvl>
  </w:abstractNum>
  <w:abstractNum w:abstractNumId="1" w15:restartNumberingAfterBreak="0">
    <w:nsid w:val="093E3503"/>
    <w:multiLevelType w:val="singleLevel"/>
    <w:tmpl w:val="093E3503"/>
    <w:lvl w:ilvl="0">
      <w:start w:val="1"/>
      <w:numFmt w:val="decimal"/>
      <w:lvlText w:val="%1."/>
      <w:lvlJc w:val="left"/>
      <w:pPr>
        <w:tabs>
          <w:tab w:val="left" w:pos="312"/>
        </w:tabs>
      </w:pPr>
    </w:lvl>
  </w:abstractNum>
  <w:abstractNum w:abstractNumId="2" w15:restartNumberingAfterBreak="0">
    <w:nsid w:val="28EF111F"/>
    <w:multiLevelType w:val="hybridMultilevel"/>
    <w:tmpl w:val="0BAAD3E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03927959">
    <w:abstractNumId w:val="1"/>
  </w:num>
  <w:num w:numId="2" w16cid:durableId="1910849189">
    <w:abstractNumId w:val="0"/>
  </w:num>
  <w:num w:numId="3" w16cid:durableId="825902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31"/>
    <w:rsid w:val="00024DF6"/>
    <w:rsid w:val="0007148F"/>
    <w:rsid w:val="000C3D74"/>
    <w:rsid w:val="000F349C"/>
    <w:rsid w:val="001161D0"/>
    <w:rsid w:val="001B5B9F"/>
    <w:rsid w:val="001D531D"/>
    <w:rsid w:val="002278B7"/>
    <w:rsid w:val="00241A72"/>
    <w:rsid w:val="0028618C"/>
    <w:rsid w:val="002871CA"/>
    <w:rsid w:val="002B7B97"/>
    <w:rsid w:val="002E7377"/>
    <w:rsid w:val="00331834"/>
    <w:rsid w:val="003C1962"/>
    <w:rsid w:val="00434BED"/>
    <w:rsid w:val="004477FD"/>
    <w:rsid w:val="004734D1"/>
    <w:rsid w:val="00486424"/>
    <w:rsid w:val="004E164B"/>
    <w:rsid w:val="00526B98"/>
    <w:rsid w:val="00533034"/>
    <w:rsid w:val="005803BD"/>
    <w:rsid w:val="00596E66"/>
    <w:rsid w:val="006411DD"/>
    <w:rsid w:val="00711E8B"/>
    <w:rsid w:val="00727240"/>
    <w:rsid w:val="00733731"/>
    <w:rsid w:val="007A27E3"/>
    <w:rsid w:val="00816767"/>
    <w:rsid w:val="00836502"/>
    <w:rsid w:val="008722B4"/>
    <w:rsid w:val="008C5169"/>
    <w:rsid w:val="00954EDF"/>
    <w:rsid w:val="00956560"/>
    <w:rsid w:val="009A20F2"/>
    <w:rsid w:val="009A4F6F"/>
    <w:rsid w:val="009F5F7F"/>
    <w:rsid w:val="00A05D57"/>
    <w:rsid w:val="00A416E8"/>
    <w:rsid w:val="00A514F8"/>
    <w:rsid w:val="00A551C1"/>
    <w:rsid w:val="00AA078A"/>
    <w:rsid w:val="00AD306A"/>
    <w:rsid w:val="00B4231A"/>
    <w:rsid w:val="00B53D0A"/>
    <w:rsid w:val="00B7375D"/>
    <w:rsid w:val="00BD5F8E"/>
    <w:rsid w:val="00C1478C"/>
    <w:rsid w:val="00C22E77"/>
    <w:rsid w:val="00C46A3C"/>
    <w:rsid w:val="00C608FB"/>
    <w:rsid w:val="00C86D47"/>
    <w:rsid w:val="00CE4FE6"/>
    <w:rsid w:val="00CF1E9D"/>
    <w:rsid w:val="00CF5299"/>
    <w:rsid w:val="00D17D75"/>
    <w:rsid w:val="00D238A6"/>
    <w:rsid w:val="00D35368"/>
    <w:rsid w:val="00D855BD"/>
    <w:rsid w:val="00D944DB"/>
    <w:rsid w:val="00DD0E56"/>
    <w:rsid w:val="00DD2EC1"/>
    <w:rsid w:val="00DE154A"/>
    <w:rsid w:val="00DF0EDF"/>
    <w:rsid w:val="00E4060A"/>
    <w:rsid w:val="00E4073C"/>
    <w:rsid w:val="00EB6154"/>
    <w:rsid w:val="00EF5A5A"/>
    <w:rsid w:val="00F131B7"/>
    <w:rsid w:val="00F32A76"/>
    <w:rsid w:val="00F37CEE"/>
    <w:rsid w:val="00FA42C1"/>
    <w:rsid w:val="00FB6E33"/>
    <w:rsid w:val="00FC30FE"/>
    <w:rsid w:val="00FF5690"/>
    <w:rsid w:val="0A933A5E"/>
    <w:rsid w:val="176755DC"/>
    <w:rsid w:val="18220228"/>
    <w:rsid w:val="23FE6A03"/>
    <w:rsid w:val="2AE55AF6"/>
    <w:rsid w:val="369041DA"/>
    <w:rsid w:val="3B862684"/>
    <w:rsid w:val="43E02B4D"/>
    <w:rsid w:val="527343B9"/>
    <w:rsid w:val="5B8830EE"/>
    <w:rsid w:val="67B83E6C"/>
    <w:rsid w:val="694F3806"/>
    <w:rsid w:val="74A30B47"/>
    <w:rsid w:val="79DB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00A64"/>
  <w15:docId w15:val="{0F7B619A-D161-47A0-8875-C605D27E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730</Words>
  <Characters>775</Characters>
  <Application>Microsoft Office Word</Application>
  <DocSecurity>0</DocSecurity>
  <Lines>48</Lines>
  <Paragraphs>50</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c:creator>
  <cp:lastModifiedBy>芮菡 张</cp:lastModifiedBy>
  <cp:revision>8</cp:revision>
  <cp:lastPrinted>2024-12-10T03:15:00Z</cp:lastPrinted>
  <dcterms:created xsi:type="dcterms:W3CDTF">2026-01-09T12:39:00Z</dcterms:created>
  <dcterms:modified xsi:type="dcterms:W3CDTF">2026-03-03T10:47:00Z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B05D7EE058DD42BBA9F0E7CFB1125662_13</vt:lpwstr>
  </property>
  <property fmtid="{D5CDD505-2E9C-101B-9397-08002B2CF9AE}" pid="4" name="KSOTemplateDocerSaveRecord">
    <vt:lpwstr>eyJoZGlkIjoiNjU3ZDIwZThmZWJiMDE0MGJhYjBhZDhjMDFhN2JhMTciLCJ1c2VySWQiOiI2MzAxMzA4NDEifQ==</vt:lpwstr>
  </property>
</Properties>
</file>