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法学院“雏鹰扶持计划”子基金管理使用实施细则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为深入推进法学院国际化办学进程，培养具有国际视野和国际竞争力的高素质人才，法学院在“中南法学一流学科建设基金”下设“雏鹰扶持计划”子基金，鼓励更多法学院学子参加出国交流项目。为规范、合理使用基金，制定 本实施细则。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第一条 </w:t>
      </w:r>
      <w:r>
        <w:rPr>
          <w:rStyle w:val="6"/>
          <w:rFonts w:hint="eastAsia" w:ascii="仿宋" w:hAnsi="仿宋" w:eastAsia="仿宋" w:cs="仿宋"/>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1、法学专业全日制在籍本科生、硕士生、博士生。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2、遵守国家法律法规及校规校纪，品行端正，无违法违纪行为。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3、学习态度端正，勤奋刻苦，成绩优良，无不及格课程。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4、获得教育部认定的国外正规大学法学专业交流项目的邀请信或录取函。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5、已申请当年国家留学基金委资助。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第二条 </w:t>
      </w:r>
      <w:r>
        <w:rPr>
          <w:rStyle w:val="6"/>
          <w:rFonts w:hint="eastAsia" w:ascii="仿宋" w:hAnsi="仿宋" w:eastAsia="仿宋" w:cs="仿宋"/>
          <w:i w:val="0"/>
          <w:caps w:val="0"/>
          <w:color w:val="000000"/>
          <w:spacing w:val="0"/>
          <w:kern w:val="0"/>
          <w:sz w:val="28"/>
          <w:szCs w:val="28"/>
          <w:lang w:val="en-US" w:eastAsia="zh-CN" w:bidi="ar"/>
        </w:rPr>
        <w:t>资助类型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1、经学校、学院组织选拔的短期实习、冬夏令营。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2、经学校、学院组织选拔的为期三个月以上的交换生项目、访问学者项目。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3、国外攻读学位。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第三条 </w:t>
      </w:r>
      <w:r>
        <w:rPr>
          <w:rStyle w:val="6"/>
          <w:rFonts w:hint="eastAsia" w:ascii="仿宋" w:hAnsi="仿宋" w:eastAsia="仿宋" w:cs="仿宋"/>
          <w:i w:val="0"/>
          <w:caps w:val="0"/>
          <w:color w:val="000000"/>
          <w:spacing w:val="0"/>
          <w:kern w:val="0"/>
          <w:sz w:val="28"/>
          <w:szCs w:val="28"/>
          <w:lang w:val="en-US" w:eastAsia="zh-CN" w:bidi="ar"/>
        </w:rPr>
        <w:t>资助金额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1、短期实习、冬夏令营：每个项目资助1人，每人资助1万元，一年内资助总额原则上不超过10万元。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2、交换生项目、访问学者：每个项目资助2人。按国家公派留学人员奖学金资助标准的70%予以资助。一年内资助总额原则上不超过60万元。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3、攻读学位：攻读硕士学位，一、二类学校分别资助</w:t>
      </w:r>
      <w:r>
        <w:rPr>
          <w:rFonts w:hint="eastAsia" w:ascii="仿宋" w:hAnsi="仿宋" w:eastAsia="仿宋" w:cs="仿宋"/>
          <w:i w:val="0"/>
          <w:caps w:val="0"/>
          <w:color w:val="FF0000"/>
          <w:spacing w:val="0"/>
          <w:kern w:val="0"/>
          <w:sz w:val="28"/>
          <w:szCs w:val="28"/>
          <w:lang w:val="en-US" w:eastAsia="zh-CN" w:bidi="ar"/>
        </w:rPr>
        <w:t>10万元、5万元</w:t>
      </w:r>
      <w:r>
        <w:rPr>
          <w:rFonts w:hint="eastAsia" w:ascii="仿宋" w:hAnsi="仿宋" w:eastAsia="仿宋" w:cs="仿宋"/>
          <w:i w:val="0"/>
          <w:caps w:val="0"/>
          <w:color w:val="000000"/>
          <w:spacing w:val="0"/>
          <w:kern w:val="0"/>
          <w:sz w:val="28"/>
          <w:szCs w:val="28"/>
          <w:lang w:val="en-US" w:eastAsia="zh-CN" w:bidi="ar"/>
        </w:rPr>
        <w:t>；攻读博士学位，一、二类学校分别资助20万元、15万元。一年内资助总额原则上不超过130万元。一、二类学校参考目录见附件。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第四条 </w:t>
      </w:r>
      <w:r>
        <w:rPr>
          <w:rStyle w:val="6"/>
          <w:rFonts w:hint="eastAsia" w:ascii="仿宋" w:hAnsi="仿宋" w:eastAsia="仿宋" w:cs="仿宋"/>
          <w:i w:val="0"/>
          <w:caps w:val="0"/>
          <w:color w:val="000000"/>
          <w:spacing w:val="0"/>
          <w:kern w:val="0"/>
          <w:sz w:val="28"/>
          <w:szCs w:val="28"/>
          <w:lang w:val="en-US" w:eastAsia="zh-CN" w:bidi="ar"/>
        </w:rPr>
        <w:t>遴选程序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1、遴选时间：每学年春季学期启动当学年评选工作。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2、遴选程序：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（1）学生根据申请条件自愿报名，向学院提交录取证明、成绩单、外语水平证明件、荣誉证书复印件等相关材料。本科生提交至法学院学生工作办公室，研究生提交至研究生工作办公室。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（2）法学院进行资格审核，初审后提交法学一流学科建设执行委员会。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36"/>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（3）法学一流学科建设执行委员会根据项目情况、学生个人情况、年度基金额度确定每年资助名单、资助人数和资助额度。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第五条 </w:t>
      </w:r>
      <w:r>
        <w:rPr>
          <w:rStyle w:val="6"/>
          <w:rFonts w:hint="eastAsia" w:ascii="仿宋" w:hAnsi="仿宋" w:eastAsia="仿宋" w:cs="仿宋"/>
          <w:i w:val="0"/>
          <w:caps w:val="0"/>
          <w:color w:val="000000"/>
          <w:spacing w:val="0"/>
          <w:kern w:val="0"/>
          <w:sz w:val="28"/>
          <w:szCs w:val="28"/>
          <w:lang w:val="en-US" w:eastAsia="zh-CN" w:bidi="ar"/>
        </w:rPr>
        <w:t>遴选标准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1、本基金每年使用总额度不超过200万元。法学一流学科建设执行委员会根据当年 资金使用情况和申请人的学业成绩、语言水平、家庭经济情况、出访地区的吃住行条件等综合评定，可适当调整各类交流项目的资金使用额度。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2、攻读学位的学生，若就读学校不在本细则规定的一、二类学校参考目录内，亦可提出申请，由法学一流学科建设执行委员会评审决定是否予以资助。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3、获得国家留学基金委的资助和作为师资储备人才赴国外攻读学位的，不再接受本基金资助。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4、申请学生若已获得高于本基金标准的其他资助，则不再提供资助；若所获其他资助低于本基金标资，则按本标准补齐差额。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5、对家庭条件特别困难、学习成绩特别优秀、交流学校特别知名的学生，经法学一流学科建设执行委员会评审同意，可予以全额资助。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第六条 </w:t>
      </w:r>
      <w:r>
        <w:rPr>
          <w:rStyle w:val="6"/>
          <w:rFonts w:hint="eastAsia" w:ascii="仿宋" w:hAnsi="仿宋" w:eastAsia="仿宋" w:cs="仿宋"/>
          <w:i w:val="0"/>
          <w:caps w:val="0"/>
          <w:color w:val="000000"/>
          <w:spacing w:val="0"/>
          <w:kern w:val="0"/>
          <w:sz w:val="28"/>
          <w:szCs w:val="28"/>
          <w:lang w:val="en-US" w:eastAsia="zh-CN" w:bidi="ar"/>
        </w:rPr>
        <w:t>资助发放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1、短期实习、冬夏令营在评审结束后一次性发放。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2、交换生、访问学者在项目完成后发放。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3、赴国外攻读学位的，学生办理好</w:t>
      </w:r>
      <w:r>
        <w:rPr>
          <w:rFonts w:hint="eastAsia" w:ascii="仿宋" w:hAnsi="仿宋" w:eastAsia="仿宋" w:cs="仿宋"/>
          <w:i w:val="0"/>
          <w:caps w:val="0"/>
          <w:color w:val="000000"/>
          <w:spacing w:val="0"/>
          <w:kern w:val="0"/>
          <w:sz w:val="28"/>
          <w:szCs w:val="28"/>
          <w:highlight w:val="none"/>
          <w:lang w:val="en-US" w:eastAsia="zh-CN" w:bidi="ar"/>
        </w:rPr>
        <w:t>入学</w:t>
      </w:r>
      <w:r>
        <w:rPr>
          <w:rFonts w:hint="eastAsia" w:ascii="仿宋" w:hAnsi="仿宋" w:eastAsia="仿宋" w:cs="仿宋"/>
          <w:i w:val="0"/>
          <w:caps w:val="0"/>
          <w:color w:val="000000"/>
          <w:spacing w:val="0"/>
          <w:kern w:val="0"/>
          <w:sz w:val="28"/>
          <w:szCs w:val="28"/>
          <w:lang w:val="en-US" w:eastAsia="zh-CN" w:bidi="ar"/>
        </w:rPr>
        <w:t>手续后发放</w:t>
      </w:r>
      <w:r>
        <w:rPr>
          <w:rFonts w:hint="eastAsia" w:ascii="仿宋" w:hAnsi="仿宋" w:eastAsia="仿宋" w:cs="仿宋"/>
          <w:i w:val="0"/>
          <w:caps w:val="0"/>
          <w:color w:val="FF0000"/>
          <w:spacing w:val="0"/>
          <w:kern w:val="0"/>
          <w:sz w:val="28"/>
          <w:szCs w:val="28"/>
          <w:lang w:val="en-US" w:eastAsia="zh-CN" w:bidi="ar"/>
        </w:rPr>
        <w:t>50%</w:t>
      </w:r>
      <w:r>
        <w:rPr>
          <w:rFonts w:hint="eastAsia" w:ascii="仿宋" w:hAnsi="仿宋" w:eastAsia="仿宋" w:cs="仿宋"/>
          <w:i w:val="0"/>
          <w:caps w:val="0"/>
          <w:color w:val="000000"/>
          <w:spacing w:val="0"/>
          <w:kern w:val="0"/>
          <w:sz w:val="28"/>
          <w:szCs w:val="28"/>
          <w:lang w:val="en-US" w:eastAsia="zh-CN" w:bidi="ar"/>
        </w:rPr>
        <w:t>，获得相应学位后发放</w:t>
      </w:r>
      <w:r>
        <w:rPr>
          <w:rFonts w:hint="eastAsia" w:ascii="仿宋" w:hAnsi="仿宋" w:eastAsia="仿宋" w:cs="仿宋"/>
          <w:i w:val="0"/>
          <w:caps w:val="0"/>
          <w:color w:val="FF0000"/>
          <w:spacing w:val="0"/>
          <w:kern w:val="0"/>
          <w:sz w:val="28"/>
          <w:szCs w:val="28"/>
          <w:lang w:val="en-US" w:eastAsia="zh-CN" w:bidi="ar"/>
        </w:rPr>
        <w:t>50%</w:t>
      </w:r>
      <w:r>
        <w:rPr>
          <w:rFonts w:hint="eastAsia" w:ascii="仿宋" w:hAnsi="仿宋" w:eastAsia="仿宋" w:cs="仿宋"/>
          <w:i w:val="0"/>
          <w:caps w:val="0"/>
          <w:color w:val="000000"/>
          <w:spacing w:val="0"/>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44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4、因资金发放产生的税费由受助个人承担。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b/>
          <w:i w:val="0"/>
          <w:caps w:val="0"/>
          <w:color w:val="000000"/>
          <w:spacing w:val="0"/>
          <w:kern w:val="0"/>
          <w:sz w:val="28"/>
          <w:szCs w:val="28"/>
          <w:lang w:val="en-US" w:eastAsia="zh-CN" w:bidi="ar"/>
        </w:rPr>
        <w:t>第七条 </w:t>
      </w:r>
      <w:r>
        <w:rPr>
          <w:rStyle w:val="6"/>
          <w:rFonts w:hint="eastAsia" w:ascii="仿宋" w:hAnsi="仿宋" w:eastAsia="仿宋" w:cs="仿宋"/>
          <w:i w:val="0"/>
          <w:caps w:val="0"/>
          <w:color w:val="000000"/>
          <w:spacing w:val="0"/>
          <w:kern w:val="0"/>
          <w:sz w:val="28"/>
          <w:szCs w:val="28"/>
          <w:lang w:val="en-US" w:eastAsia="zh-CN" w:bidi="ar"/>
        </w:rPr>
        <w:t>跟踪管理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1、获助学生在境外学习期间遵守相关法律法规及校规校纪，无违法违纪行为。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2、获助学生在境外学习认真刻苦，成绩优良，按时完成学业。若无法完成学业，收回已发放的资助，剩余资助经费将不再发放。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3、获助学生应关心母校发展，在适当的时候对母校进行必要的宣传和支持。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4、获助学生完成交流（学习）项目后，应在半年内向在校生进行宣讲和经验分享。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Style w:val="6"/>
          <w:rFonts w:hint="eastAsia" w:ascii="仿宋" w:hAnsi="仿宋" w:eastAsia="仿宋" w:cs="仿宋"/>
          <w:i w:val="0"/>
          <w:caps w:val="0"/>
          <w:color w:val="000000"/>
          <w:spacing w:val="0"/>
          <w:kern w:val="0"/>
          <w:sz w:val="28"/>
          <w:szCs w:val="28"/>
          <w:lang w:val="en-US" w:eastAsia="zh-CN" w:bidi="ar"/>
        </w:rPr>
        <w:t>第八条附则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1、本实施细则自颁布之日起生效，实施五年。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i w:val="0"/>
          <w:caps w:val="0"/>
          <w:color w:val="000000"/>
          <w:spacing w:val="0"/>
          <w:kern w:val="0"/>
          <w:sz w:val="28"/>
          <w:szCs w:val="28"/>
          <w:lang w:val="en-US" w:eastAsia="zh-CN" w:bidi="ar"/>
        </w:rPr>
      </w:pPr>
      <w:r>
        <w:rPr>
          <w:rFonts w:hint="eastAsia" w:ascii="仿宋" w:hAnsi="仿宋" w:eastAsia="仿宋" w:cs="仿宋"/>
          <w:i w:val="0"/>
          <w:caps w:val="0"/>
          <w:color w:val="000000"/>
          <w:spacing w:val="0"/>
          <w:kern w:val="0"/>
          <w:sz w:val="28"/>
          <w:szCs w:val="28"/>
          <w:lang w:val="en-US" w:eastAsia="zh-CN" w:bidi="ar"/>
        </w:rPr>
        <w:t>2、本实施细则的最终解释权属法学一流学科建设执行委员会。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color w:val="333333"/>
          <w:sz w:val="28"/>
          <w:szCs w:val="28"/>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附：</w:t>
      </w:r>
    </w:p>
    <w:p>
      <w:pPr>
        <w:pStyle w:val="2"/>
        <w:jc w:val="center"/>
        <w:rPr>
          <w:rFonts w:hint="eastAsia"/>
          <w:lang w:eastAsia="zh-CN"/>
        </w:rPr>
      </w:pPr>
      <w:r>
        <w:rPr>
          <w:rFonts w:hint="eastAsia"/>
          <w:lang w:eastAsia="zh-CN"/>
        </w:rPr>
        <w:t>“雏鹰扶持计划”资助攻读学位高校参考目录</w:t>
      </w:r>
    </w:p>
    <w:tbl>
      <w:tblPr>
        <w:tblStyle w:val="4"/>
        <w:tblW w:w="8107" w:type="dxa"/>
        <w:tblInd w:w="0" w:type="dxa"/>
        <w:shd w:val="clear" w:color="auto" w:fill="auto"/>
        <w:tblLayout w:type="fixed"/>
        <w:tblCellMar>
          <w:top w:w="0" w:type="dxa"/>
          <w:left w:w="0" w:type="dxa"/>
          <w:bottom w:w="0" w:type="dxa"/>
          <w:right w:w="0" w:type="dxa"/>
        </w:tblCellMar>
      </w:tblPr>
      <w:tblGrid>
        <w:gridCol w:w="1296"/>
        <w:gridCol w:w="648"/>
        <w:gridCol w:w="3718"/>
        <w:gridCol w:w="2445"/>
      </w:tblGrid>
      <w:tr>
        <w:tblPrEx>
          <w:shd w:val="clear" w:color="auto" w:fill="auto"/>
          <w:tblCellMar>
            <w:top w:w="0" w:type="dxa"/>
            <w:left w:w="0" w:type="dxa"/>
            <w:bottom w:w="0" w:type="dxa"/>
            <w:right w:w="0" w:type="dxa"/>
          </w:tblCellMar>
        </w:tblPrEx>
        <w:trPr>
          <w:trHeight w:val="22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等级</w:t>
            </w:r>
          </w:p>
        </w:tc>
        <w:tc>
          <w:tcPr>
            <w:tcW w:w="648"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序号</w:t>
            </w:r>
          </w:p>
        </w:tc>
        <w:tc>
          <w:tcPr>
            <w:tcW w:w="3718"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学校</w:t>
            </w:r>
          </w:p>
        </w:tc>
        <w:tc>
          <w:tcPr>
            <w:tcW w:w="2445" w:type="dxa"/>
            <w:tcBorders>
              <w:top w:val="single" w:color="000000" w:sz="4" w:space="0"/>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国家（地区）</w:t>
            </w:r>
          </w:p>
        </w:tc>
      </w:tr>
      <w:tr>
        <w:tblPrEx>
          <w:tblCellMar>
            <w:top w:w="0" w:type="dxa"/>
            <w:left w:w="0" w:type="dxa"/>
            <w:bottom w:w="0" w:type="dxa"/>
            <w:right w:w="0" w:type="dxa"/>
          </w:tblCellMar>
        </w:tblPrEx>
        <w:trPr>
          <w:trHeight w:val="228" w:hRule="atLeast"/>
        </w:trPr>
        <w:tc>
          <w:tcPr>
            <w:tcW w:w="1296" w:type="dxa"/>
            <w:vMerge w:val="restart"/>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一类</w:t>
            </w: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哈佛大学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牛津大学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剑桥大学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耶鲁大学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斯坦福大学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纽约大学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伦敦政治经济学院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墨尔本大学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东京大学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日本</w:t>
            </w:r>
          </w:p>
        </w:tc>
      </w:tr>
      <w:tr>
        <w:tblPrEx>
          <w:tblCellMar>
            <w:top w:w="0" w:type="dxa"/>
            <w:left w:w="0" w:type="dxa"/>
            <w:bottom w:w="0" w:type="dxa"/>
            <w:right w:w="0" w:type="dxa"/>
          </w:tblCellMar>
        </w:tblPrEx>
        <w:trPr>
          <w:trHeight w:val="228" w:hRule="atLeast"/>
        </w:trPr>
        <w:tc>
          <w:tcPr>
            <w:tcW w:w="1296" w:type="dxa"/>
            <w:vMerge w:val="continue"/>
            <w:tcBorders>
              <w:top w:val="nil"/>
              <w:left w:val="single" w:color="000000" w:sz="4" w:space="0"/>
              <w:bottom w:val="nil"/>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海德堡大学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CellMar>
            <w:top w:w="0" w:type="dxa"/>
            <w:left w:w="0" w:type="dxa"/>
            <w:bottom w:w="0" w:type="dxa"/>
            <w:right w:w="0" w:type="dxa"/>
          </w:tblCellMar>
        </w:tblPrEx>
        <w:trPr>
          <w:trHeight w:val="228"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二类</w:t>
            </w: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加州伯克利分校</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哥伦比亚大学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芝加哥大学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伦敦大学学院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悉尼大学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新加坡国立大学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新加坡</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蒙特利尔大学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加拿大</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伦敦国王学院</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乔治城大学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爱丁堡大学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英国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11</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巴黎第一大学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法国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12</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莫纳什大学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澳大利亚</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13</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莱顿大学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荷兰</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14</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华盛顿大学圣路易斯分校</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15</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慕尼黑大学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16</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科隆大学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德国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17</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埃默里大学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18</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罗马第一大学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意大利</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19</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特伦托大学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意大利</w:t>
            </w:r>
          </w:p>
        </w:tc>
      </w:tr>
      <w:tr>
        <w:tblPrEx>
          <w:tblCellMar>
            <w:top w:w="0" w:type="dxa"/>
            <w:left w:w="0" w:type="dxa"/>
            <w:bottom w:w="0" w:type="dxa"/>
            <w:right w:w="0" w:type="dxa"/>
          </w:tblCellMar>
        </w:tblPrEx>
        <w:trPr>
          <w:trHeight w:val="22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p>
        </w:tc>
        <w:tc>
          <w:tcPr>
            <w:tcW w:w="64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top"/>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20</w:t>
            </w:r>
          </w:p>
        </w:tc>
        <w:tc>
          <w:tcPr>
            <w:tcW w:w="3718"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宾夕法尼亚州立大学</w:t>
            </w:r>
          </w:p>
        </w:tc>
        <w:tc>
          <w:tcPr>
            <w:tcW w:w="2445" w:type="dxa"/>
            <w:tcBorders>
              <w:top w:val="nil"/>
              <w:left w:val="nil"/>
              <w:bottom w:val="single" w:color="000000" w:sz="4" w:space="0"/>
              <w:right w:val="single" w:color="000000" w:sz="4" w:space="0"/>
            </w:tcBorders>
            <w:shd w:val="clear" w:color="auto" w:fill="auto"/>
            <w:tcMar>
              <w:top w:w="12" w:type="dxa"/>
              <w:left w:w="12" w:type="dxa"/>
              <w:bottom w:w="12" w:type="dxa"/>
              <w:right w:w="12" w:type="dxa"/>
            </w:tcMar>
            <w:vAlign w:val="center"/>
          </w:tcPr>
          <w:p>
            <w:pPr>
              <w:jc w:val="center"/>
              <w:textAlignment w:val="center"/>
              <w:rPr>
                <w:rFonts w:hint="eastAsia" w:ascii="宋体" w:hAnsi="宋体" w:eastAsia="宋体" w:cs="宋体"/>
                <w:b w:val="0"/>
                <w:bCs w:val="0"/>
                <w:color w:val="auto"/>
                <w:kern w:val="0"/>
                <w:sz w:val="30"/>
                <w:szCs w:val="30"/>
              </w:rPr>
            </w:pPr>
            <w:r>
              <w:rPr>
                <w:rFonts w:hint="eastAsia" w:ascii="宋体" w:hAnsi="宋体" w:eastAsia="宋体" w:cs="宋体"/>
                <w:b w:val="0"/>
                <w:bCs w:val="0"/>
                <w:color w:val="auto"/>
                <w:kern w:val="0"/>
                <w:sz w:val="30"/>
                <w:szCs w:val="30"/>
                <w:lang w:val="en-US" w:eastAsia="zh-CN"/>
              </w:rPr>
              <w:t>美国</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firstLine="384"/>
        <w:jc w:val="left"/>
        <w:rPr>
          <w:rFonts w:hint="eastAsia" w:ascii="仿宋" w:hAnsi="仿宋" w:eastAsia="仿宋" w:cs="仿宋"/>
          <w:color w:val="333333"/>
          <w:sz w:val="28"/>
          <w:szCs w:val="28"/>
        </w:rPr>
      </w:pPr>
      <w:r>
        <w:rPr>
          <w:rFonts w:hint="eastAsia" w:ascii="仿宋" w:hAnsi="仿宋" w:eastAsia="仿宋" w:cs="仿宋"/>
          <w:i w:val="0"/>
          <w:caps w:val="0"/>
          <w:color w:val="000000"/>
          <w:spacing w:val="0"/>
          <w:kern w:val="0"/>
          <w:sz w:val="28"/>
          <w:szCs w:val="28"/>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76" w:lineRule="atLeast"/>
        <w:ind w:left="0" w:right="0"/>
        <w:jc w:val="center"/>
        <w:rPr>
          <w:rFonts w:hint="eastAsia" w:ascii="仿宋" w:hAnsi="仿宋" w:eastAsia="仿宋" w:cs="仿宋"/>
          <w:color w:val="E2E2E2"/>
          <w:sz w:val="28"/>
          <w:szCs w:val="28"/>
        </w:rPr>
      </w:pPr>
      <w:r>
        <w:rPr>
          <w:rFonts w:hint="eastAsia" w:ascii="仿宋" w:hAnsi="仿宋" w:eastAsia="仿宋" w:cs="仿宋"/>
          <w:i w:val="0"/>
          <w:caps w:val="0"/>
          <w:color w:val="000000"/>
          <w:spacing w:val="0"/>
          <w:kern w:val="0"/>
          <w:sz w:val="28"/>
          <w:szCs w:val="28"/>
          <w:lang w:val="en-US" w:eastAsia="zh-CN" w:bidi="ar"/>
        </w:rPr>
        <w:t>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46CEA"/>
    <w:rsid w:val="0B446CEA"/>
    <w:rsid w:val="15271856"/>
    <w:rsid w:val="1A732E4F"/>
    <w:rsid w:val="20BC675F"/>
    <w:rsid w:val="45461003"/>
    <w:rsid w:val="6D535020"/>
    <w:rsid w:val="7B78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微软雅黑 Light" w:cs="宋体"/>
      <w:color w:val="000000"/>
      <w:kern w:val="2"/>
      <w:sz w:val="24"/>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2018-11-16T02:12:00Z</dcterms:created>
  <dc:creator>ch2012wh</dc:creator>
  <cp:lastModifiedBy>徐金花</cp:lastModifiedBy>
  <cp:lastPrinted>2018-11-16T02:59:00Z</cp:lastPrinted>
  <dcterms:modified xsi:type="dcterms:W3CDTF">2020-06-10T07:17:55Z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