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lang w:eastAsia="zh-CN"/>
        </w:rPr>
      </w:pPr>
      <w:r>
        <w:rPr>
          <w:rFonts w:hint="eastAsia"/>
          <w:lang w:eastAsia="zh-CN"/>
        </w:rPr>
        <w:t>法学院“雏鹰扶持计划”子基金管理使用实施细则</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为深入</w:t>
      </w:r>
      <w:r>
        <w:rPr>
          <w:rFonts w:hint="eastAsia" w:ascii="仿宋" w:hAnsi="仿宋" w:eastAsia="仿宋" w:cs="仿宋"/>
          <w:sz w:val="28"/>
          <w:szCs w:val="28"/>
          <w:lang w:eastAsia="zh-CN"/>
        </w:rPr>
        <w:t>推进法学院国际化办学进程，</w:t>
      </w:r>
      <w:r>
        <w:rPr>
          <w:rFonts w:hint="eastAsia" w:ascii="仿宋" w:hAnsi="仿宋" w:eastAsia="仿宋" w:cs="仿宋"/>
          <w:sz w:val="28"/>
          <w:szCs w:val="28"/>
        </w:rPr>
        <w:t>培养具有国际视野和国际竞争力的高素质人才，</w:t>
      </w:r>
      <w:r>
        <w:rPr>
          <w:rFonts w:hint="eastAsia" w:ascii="仿宋" w:hAnsi="仿宋" w:eastAsia="仿宋" w:cs="仿宋"/>
          <w:sz w:val="28"/>
          <w:szCs w:val="28"/>
          <w:lang w:eastAsia="zh-CN"/>
        </w:rPr>
        <w:t>法学院在“中南法学一流学科建设基金”下设“雏鹰扶持计</w:t>
      </w:r>
      <w:bookmarkStart w:id="0" w:name="_GoBack"/>
      <w:bookmarkEnd w:id="0"/>
      <w:r>
        <w:rPr>
          <w:rFonts w:hint="eastAsia" w:ascii="仿宋" w:hAnsi="仿宋" w:eastAsia="仿宋" w:cs="仿宋"/>
          <w:sz w:val="28"/>
          <w:szCs w:val="28"/>
          <w:lang w:eastAsia="zh-CN"/>
        </w:rPr>
        <w:t>划”子基金，</w:t>
      </w:r>
      <w:r>
        <w:rPr>
          <w:rFonts w:hint="eastAsia" w:ascii="仿宋" w:hAnsi="仿宋" w:eastAsia="仿宋" w:cs="仿宋"/>
          <w:sz w:val="28"/>
          <w:szCs w:val="28"/>
        </w:rPr>
        <w:t>鼓励更多</w:t>
      </w:r>
      <w:r>
        <w:rPr>
          <w:rFonts w:hint="eastAsia" w:ascii="仿宋" w:hAnsi="仿宋" w:eastAsia="仿宋" w:cs="仿宋"/>
          <w:sz w:val="28"/>
          <w:szCs w:val="28"/>
          <w:lang w:eastAsia="zh-CN"/>
        </w:rPr>
        <w:t>法学院学子</w:t>
      </w:r>
      <w:r>
        <w:rPr>
          <w:rFonts w:hint="eastAsia" w:ascii="仿宋" w:hAnsi="仿宋" w:eastAsia="仿宋" w:cs="仿宋"/>
          <w:sz w:val="28"/>
          <w:szCs w:val="28"/>
        </w:rPr>
        <w:t>参加出国交流项目。为</w:t>
      </w:r>
      <w:r>
        <w:rPr>
          <w:rFonts w:hint="eastAsia" w:ascii="仿宋" w:hAnsi="仿宋" w:eastAsia="仿宋" w:cs="仿宋"/>
          <w:sz w:val="28"/>
          <w:szCs w:val="28"/>
          <w:lang w:eastAsia="zh-CN"/>
        </w:rPr>
        <w:t>规范、合理使用基金</w:t>
      </w:r>
      <w:r>
        <w:rPr>
          <w:rFonts w:hint="eastAsia" w:ascii="仿宋" w:hAnsi="仿宋" w:eastAsia="仿宋" w:cs="仿宋"/>
          <w:sz w:val="28"/>
          <w:szCs w:val="28"/>
        </w:rPr>
        <w:t>，制定本</w:t>
      </w:r>
      <w:r>
        <w:rPr>
          <w:rFonts w:hint="eastAsia" w:ascii="仿宋" w:hAnsi="仿宋" w:eastAsia="仿宋" w:cs="仿宋"/>
          <w:sz w:val="28"/>
          <w:szCs w:val="28"/>
          <w:lang w:eastAsia="zh-CN"/>
        </w:rPr>
        <w:t>实施细则</w:t>
      </w:r>
      <w:r>
        <w:rPr>
          <w:rFonts w:hint="eastAsia" w:ascii="仿宋" w:hAnsi="仿宋" w:eastAsia="仿宋" w:cs="仿宋"/>
          <w:sz w:val="28"/>
          <w:szCs w:val="28"/>
        </w:rPr>
        <w:t>。</w:t>
      </w:r>
    </w:p>
    <w:p>
      <w:pPr>
        <w:numPr>
          <w:ilvl w:val="0"/>
          <w:numId w:val="1"/>
        </w:numPr>
        <w:rPr>
          <w:rFonts w:hint="eastAsia" w:ascii="仿宋" w:hAnsi="仿宋" w:eastAsia="仿宋" w:cs="仿宋"/>
          <w:b/>
          <w:bCs/>
          <w:sz w:val="28"/>
          <w:szCs w:val="28"/>
          <w:lang w:eastAsia="zh-CN"/>
        </w:rPr>
      </w:pPr>
      <w:r>
        <w:rPr>
          <w:rFonts w:hint="eastAsia" w:ascii="仿宋" w:hAnsi="仿宋" w:eastAsia="仿宋" w:cs="仿宋"/>
          <w:b/>
          <w:bCs/>
          <w:sz w:val="28"/>
          <w:szCs w:val="28"/>
        </w:rPr>
        <w:t xml:space="preserve"> </w:t>
      </w:r>
      <w:r>
        <w:rPr>
          <w:rFonts w:hint="eastAsia" w:ascii="仿宋" w:hAnsi="仿宋" w:eastAsia="仿宋" w:cs="仿宋"/>
          <w:b/>
          <w:bCs/>
          <w:sz w:val="28"/>
          <w:szCs w:val="28"/>
          <w:lang w:eastAsia="zh-CN"/>
        </w:rPr>
        <w:t>申请条件</w:t>
      </w:r>
    </w:p>
    <w:p>
      <w:pPr>
        <w:numPr>
          <w:ilvl w:val="0"/>
          <w:numId w:val="2"/>
        </w:numPr>
        <w:ind w:firstLine="48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法学专业全日制在籍本科生、硕士生、博士生。</w:t>
      </w:r>
    </w:p>
    <w:p>
      <w:pPr>
        <w:numPr>
          <w:ilvl w:val="0"/>
          <w:numId w:val="2"/>
        </w:numPr>
        <w:ind w:firstLine="480"/>
        <w:rPr>
          <w:rFonts w:hint="eastAsia" w:ascii="仿宋" w:hAnsi="仿宋" w:eastAsia="仿宋" w:cs="仿宋"/>
          <w:color w:val="auto"/>
          <w:sz w:val="28"/>
          <w:szCs w:val="28"/>
        </w:rPr>
      </w:pPr>
      <w:r>
        <w:rPr>
          <w:rFonts w:hint="eastAsia" w:ascii="仿宋" w:hAnsi="仿宋" w:eastAsia="仿宋" w:cs="仿宋"/>
          <w:color w:val="auto"/>
          <w:sz w:val="28"/>
          <w:szCs w:val="28"/>
        </w:rPr>
        <w:t>遵守国家法律法规及校规校纪，品行端正，无违法违纪行为。</w:t>
      </w:r>
    </w:p>
    <w:p>
      <w:pPr>
        <w:numPr>
          <w:ilvl w:val="0"/>
          <w:numId w:val="2"/>
        </w:numPr>
        <w:ind w:firstLine="480"/>
        <w:rPr>
          <w:rFonts w:hint="eastAsia" w:ascii="仿宋" w:hAnsi="仿宋" w:eastAsia="仿宋" w:cs="仿宋"/>
          <w:sz w:val="28"/>
          <w:szCs w:val="28"/>
          <w:lang w:val="en-US" w:eastAsia="zh-CN"/>
        </w:rPr>
      </w:pPr>
      <w:r>
        <w:rPr>
          <w:rFonts w:hint="eastAsia" w:ascii="仿宋" w:hAnsi="仿宋" w:eastAsia="仿宋" w:cs="仿宋"/>
          <w:color w:val="auto"/>
          <w:sz w:val="28"/>
          <w:szCs w:val="28"/>
        </w:rPr>
        <w:t>学习态度端正，勤奋刻苦，成绩优良，无不及格课程</w:t>
      </w:r>
      <w:r>
        <w:rPr>
          <w:rFonts w:hint="eastAsia" w:ascii="仿宋" w:hAnsi="仿宋" w:eastAsia="仿宋" w:cs="仿宋"/>
          <w:color w:val="auto"/>
          <w:sz w:val="28"/>
          <w:szCs w:val="28"/>
          <w:lang w:eastAsia="zh-CN"/>
        </w:rPr>
        <w:t>。</w:t>
      </w:r>
    </w:p>
    <w:p>
      <w:pPr>
        <w:numPr>
          <w:ilvl w:val="0"/>
          <w:numId w:val="2"/>
        </w:numPr>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获得教育部认定的国外正规大学法学专业交流项目的邀请信或录取函。</w:t>
      </w:r>
    </w:p>
    <w:p>
      <w:pPr>
        <w:numPr>
          <w:ilvl w:val="0"/>
          <w:numId w:val="1"/>
        </w:numPr>
        <w:rPr>
          <w:rFonts w:hint="eastAsia" w:ascii="仿宋" w:hAnsi="仿宋" w:eastAsia="仿宋" w:cs="仿宋"/>
          <w:b/>
          <w:bCs/>
          <w:sz w:val="28"/>
          <w:szCs w:val="28"/>
        </w:rPr>
      </w:pPr>
      <w:r>
        <w:rPr>
          <w:rFonts w:hint="eastAsia" w:ascii="仿宋" w:hAnsi="仿宋" w:eastAsia="仿宋" w:cs="仿宋"/>
          <w:b/>
          <w:bCs/>
          <w:sz w:val="28"/>
          <w:szCs w:val="28"/>
        </w:rPr>
        <w:t>资助类型</w:t>
      </w:r>
    </w:p>
    <w:p>
      <w:pPr>
        <w:numPr>
          <w:ilvl w:val="0"/>
          <w:numId w:val="3"/>
        </w:numPr>
        <w:ind w:firstLine="480"/>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经学校、学院组织选拔的短期实习、冬夏令营。</w:t>
      </w:r>
    </w:p>
    <w:p>
      <w:pPr>
        <w:numPr>
          <w:ilvl w:val="0"/>
          <w:numId w:val="3"/>
        </w:numPr>
        <w:ind w:firstLine="48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u w:val="none"/>
          <w:lang w:val="en-US" w:eastAsia="zh-CN"/>
        </w:rPr>
        <w:t>经学校、学院组织选拔的为期三个月以上的交换生项目、访问学者项目。</w:t>
      </w:r>
    </w:p>
    <w:p>
      <w:pPr>
        <w:numPr>
          <w:ilvl w:val="0"/>
          <w:numId w:val="3"/>
        </w:numPr>
        <w:ind w:firstLine="480"/>
        <w:rPr>
          <w:rFonts w:hint="eastAsia" w:ascii="仿宋" w:hAnsi="仿宋" w:eastAsia="仿宋" w:cs="仿宋"/>
          <w:sz w:val="28"/>
          <w:szCs w:val="28"/>
        </w:rPr>
      </w:pPr>
      <w:r>
        <w:rPr>
          <w:rFonts w:hint="eastAsia" w:ascii="仿宋" w:hAnsi="仿宋" w:eastAsia="仿宋" w:cs="仿宋"/>
          <w:color w:val="auto"/>
          <w:sz w:val="28"/>
          <w:szCs w:val="28"/>
          <w:lang w:val="en-US" w:eastAsia="zh-CN"/>
        </w:rPr>
        <w:t>国外攻读学位。</w:t>
      </w:r>
    </w:p>
    <w:p>
      <w:pPr>
        <w:numPr>
          <w:ilvl w:val="0"/>
          <w:numId w:val="1"/>
        </w:numPr>
        <w:rPr>
          <w:rFonts w:hint="eastAsia" w:ascii="仿宋" w:hAnsi="仿宋" w:eastAsia="仿宋" w:cs="仿宋"/>
          <w:b/>
          <w:bCs/>
          <w:sz w:val="28"/>
          <w:szCs w:val="28"/>
        </w:rPr>
      </w:pPr>
      <w:r>
        <w:rPr>
          <w:rFonts w:hint="eastAsia" w:ascii="仿宋" w:hAnsi="仿宋" w:eastAsia="仿宋" w:cs="仿宋"/>
          <w:b/>
          <w:bCs/>
          <w:sz w:val="28"/>
          <w:szCs w:val="28"/>
          <w:lang w:eastAsia="zh-CN"/>
        </w:rPr>
        <w:t>资助金额</w:t>
      </w:r>
    </w:p>
    <w:p>
      <w:pPr>
        <w:numPr>
          <w:ilvl w:val="0"/>
          <w:numId w:val="4"/>
        </w:numPr>
        <w:ind w:firstLine="420" w:firstLineChars="0"/>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短期实习、冬夏令营：每个项目资助1人，每人资助1万元，一年内资助总额原则上不超过10万元。</w:t>
      </w:r>
    </w:p>
    <w:p>
      <w:pPr>
        <w:numPr>
          <w:ilvl w:val="0"/>
          <w:numId w:val="4"/>
        </w:numPr>
        <w:ind w:firstLine="420" w:firstLineChars="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u w:val="none"/>
          <w:lang w:val="en-US" w:eastAsia="zh-CN"/>
        </w:rPr>
        <w:t>交换生项目、访问学者：</w:t>
      </w:r>
      <w:r>
        <w:rPr>
          <w:rFonts w:hint="eastAsia" w:ascii="仿宋" w:hAnsi="仿宋" w:eastAsia="仿宋" w:cs="仿宋"/>
          <w:color w:val="auto"/>
          <w:sz w:val="28"/>
          <w:szCs w:val="28"/>
          <w:highlight w:val="none"/>
          <w:u w:val="none"/>
          <w:lang w:val="en-US" w:eastAsia="zh-CN"/>
        </w:rPr>
        <w:t>每个项目资助2人。按国家公派留学人员奖学金资助标准的70%予以资助。一年内资助总额原则上不超过60万</w:t>
      </w:r>
      <w:r>
        <w:rPr>
          <w:rFonts w:hint="eastAsia" w:ascii="仿宋" w:hAnsi="仿宋" w:eastAsia="仿宋" w:cs="仿宋"/>
          <w:color w:val="auto"/>
          <w:sz w:val="28"/>
          <w:szCs w:val="28"/>
          <w:u w:val="none"/>
          <w:lang w:val="en-US" w:eastAsia="zh-CN"/>
        </w:rPr>
        <w:t>元</w:t>
      </w:r>
      <w:r>
        <w:rPr>
          <w:rFonts w:hint="eastAsia" w:ascii="仿宋" w:hAnsi="仿宋" w:eastAsia="仿宋" w:cs="仿宋"/>
          <w:color w:val="auto"/>
          <w:sz w:val="28"/>
          <w:szCs w:val="28"/>
          <w:highlight w:val="none"/>
          <w:u w:val="none"/>
          <w:lang w:val="en-US" w:eastAsia="zh-CN"/>
        </w:rPr>
        <w:t>。</w:t>
      </w:r>
    </w:p>
    <w:p>
      <w:pPr>
        <w:numPr>
          <w:ilvl w:val="0"/>
          <w:numId w:val="4"/>
        </w:numPr>
        <w:ind w:firstLine="420" w:firstLineChars="0"/>
        <w:rPr>
          <w:rFonts w:hint="eastAsia" w:ascii="仿宋" w:hAnsi="仿宋" w:eastAsia="仿宋" w:cs="仿宋"/>
          <w:sz w:val="28"/>
          <w:szCs w:val="28"/>
        </w:rPr>
      </w:pPr>
      <w:r>
        <w:rPr>
          <w:rFonts w:hint="eastAsia" w:ascii="仿宋" w:hAnsi="仿宋" w:eastAsia="仿宋" w:cs="仿宋"/>
          <w:color w:val="auto"/>
          <w:sz w:val="28"/>
          <w:szCs w:val="28"/>
          <w:lang w:val="en-US" w:eastAsia="zh-CN"/>
        </w:rPr>
        <w:t>攻读学位：攻读硕士学位，一、二类学校分别资助</w:t>
      </w:r>
      <w:r>
        <w:rPr>
          <w:rFonts w:hint="eastAsia" w:ascii="仿宋" w:hAnsi="仿宋" w:eastAsia="仿宋" w:cs="仿宋"/>
          <w:color w:val="auto"/>
          <w:sz w:val="28"/>
          <w:szCs w:val="28"/>
          <w:highlight w:val="none"/>
          <w:lang w:val="en-US" w:eastAsia="zh-CN"/>
        </w:rPr>
        <w:t>15万</w:t>
      </w:r>
      <w:r>
        <w:rPr>
          <w:rFonts w:hint="eastAsia" w:ascii="仿宋" w:hAnsi="仿宋" w:eastAsia="仿宋" w:cs="仿宋"/>
          <w:color w:val="auto"/>
          <w:sz w:val="28"/>
          <w:szCs w:val="28"/>
          <w:u w:val="none"/>
          <w:lang w:val="en-US" w:eastAsia="zh-CN"/>
        </w:rPr>
        <w:t>元</w:t>
      </w:r>
      <w:r>
        <w:rPr>
          <w:rFonts w:hint="eastAsia" w:ascii="仿宋" w:hAnsi="仿宋" w:eastAsia="仿宋" w:cs="仿宋"/>
          <w:color w:val="auto"/>
          <w:sz w:val="28"/>
          <w:szCs w:val="28"/>
          <w:highlight w:val="none"/>
          <w:lang w:val="en-US" w:eastAsia="zh-CN"/>
        </w:rPr>
        <w:t>、10万</w:t>
      </w:r>
      <w:r>
        <w:rPr>
          <w:rFonts w:hint="eastAsia" w:ascii="仿宋" w:hAnsi="仿宋" w:eastAsia="仿宋" w:cs="仿宋"/>
          <w:color w:val="auto"/>
          <w:sz w:val="28"/>
          <w:szCs w:val="28"/>
          <w:u w:val="none"/>
          <w:lang w:val="en-US" w:eastAsia="zh-CN"/>
        </w:rPr>
        <w:t>元</w:t>
      </w:r>
      <w:r>
        <w:rPr>
          <w:rFonts w:hint="eastAsia" w:ascii="仿宋" w:hAnsi="仿宋" w:eastAsia="仿宋" w:cs="仿宋"/>
          <w:color w:val="auto"/>
          <w:sz w:val="28"/>
          <w:szCs w:val="28"/>
          <w:highlight w:val="none"/>
          <w:lang w:val="en-US" w:eastAsia="zh-CN"/>
        </w:rPr>
        <w:t>；攻读</w:t>
      </w:r>
      <w:r>
        <w:rPr>
          <w:rFonts w:hint="eastAsia" w:ascii="仿宋" w:hAnsi="仿宋" w:eastAsia="仿宋" w:cs="仿宋"/>
          <w:color w:val="auto"/>
          <w:sz w:val="28"/>
          <w:szCs w:val="28"/>
          <w:lang w:val="en-US" w:eastAsia="zh-CN"/>
        </w:rPr>
        <w:t>博士学位，一、二类学校分别资助</w:t>
      </w:r>
      <w:r>
        <w:rPr>
          <w:rFonts w:hint="eastAsia" w:ascii="仿宋" w:hAnsi="仿宋" w:eastAsia="仿宋" w:cs="仿宋"/>
          <w:color w:val="auto"/>
          <w:sz w:val="28"/>
          <w:szCs w:val="28"/>
          <w:highlight w:val="none"/>
          <w:lang w:val="en-US" w:eastAsia="zh-CN"/>
        </w:rPr>
        <w:t>20万</w:t>
      </w:r>
      <w:r>
        <w:rPr>
          <w:rFonts w:hint="eastAsia" w:ascii="仿宋" w:hAnsi="仿宋" w:eastAsia="仿宋" w:cs="仿宋"/>
          <w:color w:val="auto"/>
          <w:sz w:val="28"/>
          <w:szCs w:val="28"/>
          <w:u w:val="none"/>
          <w:lang w:val="en-US" w:eastAsia="zh-CN"/>
        </w:rPr>
        <w:t>元</w:t>
      </w:r>
      <w:r>
        <w:rPr>
          <w:rFonts w:hint="eastAsia" w:ascii="仿宋" w:hAnsi="仿宋" w:eastAsia="仿宋" w:cs="仿宋"/>
          <w:color w:val="auto"/>
          <w:sz w:val="28"/>
          <w:szCs w:val="28"/>
          <w:highlight w:val="none"/>
          <w:lang w:val="en-US" w:eastAsia="zh-CN"/>
        </w:rPr>
        <w:t>、15万</w:t>
      </w:r>
      <w:r>
        <w:rPr>
          <w:rFonts w:hint="eastAsia" w:ascii="仿宋" w:hAnsi="仿宋" w:eastAsia="仿宋" w:cs="仿宋"/>
          <w:color w:val="auto"/>
          <w:sz w:val="28"/>
          <w:szCs w:val="28"/>
          <w:u w:val="none"/>
          <w:lang w:val="en-US" w:eastAsia="zh-CN"/>
        </w:rPr>
        <w:t>元</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highlight w:val="none"/>
          <w:lang w:val="en-US" w:eastAsia="zh-CN"/>
        </w:rPr>
        <w:t>一年内资助总额原则上不超过130万</w:t>
      </w:r>
      <w:r>
        <w:rPr>
          <w:rFonts w:hint="eastAsia" w:ascii="仿宋" w:hAnsi="仿宋" w:eastAsia="仿宋" w:cs="仿宋"/>
          <w:color w:val="auto"/>
          <w:sz w:val="28"/>
          <w:szCs w:val="28"/>
          <w:u w:val="none"/>
          <w:lang w:val="en-US" w:eastAsia="zh-CN"/>
        </w:rPr>
        <w:t>元</w:t>
      </w:r>
      <w:r>
        <w:rPr>
          <w:rFonts w:hint="eastAsia" w:ascii="仿宋" w:hAnsi="仿宋" w:eastAsia="仿宋" w:cs="仿宋"/>
          <w:color w:val="auto"/>
          <w:sz w:val="28"/>
          <w:szCs w:val="28"/>
          <w:highlight w:val="none"/>
          <w:lang w:val="en-US" w:eastAsia="zh-CN"/>
        </w:rPr>
        <w:t>。一、二类学校参考目录见附件。</w:t>
      </w:r>
    </w:p>
    <w:p>
      <w:pPr>
        <w:numPr>
          <w:ilvl w:val="0"/>
          <w:numId w:val="1"/>
        </w:numPr>
        <w:rPr>
          <w:rFonts w:hint="eastAsia" w:ascii="仿宋" w:hAnsi="仿宋" w:eastAsia="仿宋" w:cs="仿宋"/>
          <w:b/>
          <w:bCs/>
          <w:sz w:val="28"/>
          <w:szCs w:val="28"/>
        </w:rPr>
      </w:pPr>
      <w:r>
        <w:rPr>
          <w:rFonts w:hint="eastAsia" w:ascii="仿宋" w:hAnsi="仿宋" w:eastAsia="仿宋" w:cs="仿宋"/>
          <w:b/>
          <w:bCs/>
          <w:sz w:val="28"/>
          <w:szCs w:val="28"/>
          <w:lang w:val="en-US" w:eastAsia="zh-CN"/>
        </w:rPr>
        <w:t xml:space="preserve"> 遴选程序</w:t>
      </w:r>
    </w:p>
    <w:p>
      <w:pPr>
        <w:numPr>
          <w:ilvl w:val="0"/>
          <w:numId w:val="5"/>
        </w:numPr>
        <w:ind w:firstLine="420" w:firstLineChars="0"/>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val="en-US" w:eastAsia="zh-CN"/>
        </w:rPr>
        <w:t>遴选时间：</w:t>
      </w:r>
      <w:r>
        <w:rPr>
          <w:rFonts w:hint="eastAsia" w:ascii="仿宋" w:hAnsi="仿宋" w:eastAsia="仿宋" w:cs="仿宋"/>
          <w:color w:val="auto"/>
          <w:sz w:val="28"/>
          <w:szCs w:val="28"/>
          <w:highlight w:val="none"/>
          <w:u w:val="none"/>
          <w:lang w:val="en-US" w:eastAsia="zh-CN"/>
        </w:rPr>
        <w:t>每学年春季学期启动当学年评选工作。</w:t>
      </w:r>
    </w:p>
    <w:p>
      <w:pPr>
        <w:numPr>
          <w:ilvl w:val="0"/>
          <w:numId w:val="5"/>
        </w:numPr>
        <w:ind w:firstLine="42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遴选程序：</w:t>
      </w:r>
    </w:p>
    <w:p>
      <w:pPr>
        <w:numPr>
          <w:ilvl w:val="0"/>
          <w:numId w:val="0"/>
        </w:numPr>
        <w:ind w:firstLine="42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（1）学生根据申请条件自愿报名，向学院提交录取证明、成绩单、外语水平证明件、荣誉证书复印件等相关材料。本科生提交至法学院学生工作办公室，研究生提交至研究生工作办公室。</w:t>
      </w:r>
    </w:p>
    <w:p>
      <w:pPr>
        <w:numPr>
          <w:ilvl w:val="0"/>
          <w:numId w:val="0"/>
        </w:numPr>
        <w:ind w:firstLine="42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（2）法学院进行资格审核，初审后提交法学一流学科建设执行委员会。</w:t>
      </w:r>
    </w:p>
    <w:p>
      <w:pPr>
        <w:numPr>
          <w:ilvl w:val="0"/>
          <w:numId w:val="0"/>
        </w:numPr>
        <w:ind w:firstLine="420" w:firstLineChars="0"/>
        <w:rPr>
          <w:rFonts w:hint="eastAsia" w:ascii="仿宋" w:hAnsi="仿宋" w:eastAsia="仿宋" w:cs="仿宋"/>
          <w:sz w:val="28"/>
          <w:szCs w:val="28"/>
        </w:rPr>
      </w:pPr>
      <w:r>
        <w:rPr>
          <w:rFonts w:hint="eastAsia" w:ascii="仿宋" w:hAnsi="仿宋" w:eastAsia="仿宋" w:cs="仿宋"/>
          <w:color w:val="auto"/>
          <w:sz w:val="28"/>
          <w:szCs w:val="28"/>
          <w:highlight w:val="none"/>
          <w:lang w:val="en-US" w:eastAsia="zh-CN"/>
        </w:rPr>
        <w:t>（3）法学一流学科建设执行委员会根据项目情况、学生个人情况、年度基金额度确定每年资助名单、资助人数和资助额度。</w:t>
      </w:r>
    </w:p>
    <w:p>
      <w:pPr>
        <w:numPr>
          <w:ilvl w:val="0"/>
          <w:numId w:val="1"/>
        </w:numPr>
        <w:rPr>
          <w:rFonts w:hint="eastAsia" w:ascii="仿宋" w:hAnsi="仿宋" w:eastAsia="仿宋" w:cs="仿宋"/>
          <w:b/>
          <w:bCs/>
          <w:sz w:val="28"/>
          <w:szCs w:val="28"/>
        </w:rPr>
      </w:pPr>
      <w:r>
        <w:rPr>
          <w:rFonts w:hint="eastAsia" w:ascii="仿宋" w:hAnsi="仿宋" w:eastAsia="仿宋" w:cs="仿宋"/>
          <w:b/>
          <w:bCs/>
          <w:sz w:val="28"/>
          <w:szCs w:val="28"/>
          <w:lang w:val="en-US" w:eastAsia="zh-CN"/>
        </w:rPr>
        <w:t xml:space="preserve"> 遴选标准</w:t>
      </w:r>
    </w:p>
    <w:p>
      <w:pPr>
        <w:numPr>
          <w:ilvl w:val="0"/>
          <w:numId w:val="6"/>
        </w:numPr>
        <w:ind w:firstLine="48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本基金每年使用总额度不超过200万元。</w:t>
      </w:r>
      <w:r>
        <w:rPr>
          <w:rFonts w:hint="eastAsia" w:ascii="仿宋" w:hAnsi="仿宋" w:eastAsia="仿宋" w:cs="仿宋"/>
          <w:color w:val="auto"/>
          <w:sz w:val="28"/>
          <w:szCs w:val="28"/>
          <w:highlight w:val="none"/>
          <w:lang w:val="en-US" w:eastAsia="zh-CN"/>
        </w:rPr>
        <w:t>法学一流学科建设执行委员会</w:t>
      </w:r>
      <w:r>
        <w:rPr>
          <w:rFonts w:hint="eastAsia" w:ascii="仿宋" w:hAnsi="仿宋" w:eastAsia="仿宋" w:cs="仿宋"/>
          <w:color w:val="auto"/>
          <w:sz w:val="28"/>
          <w:szCs w:val="28"/>
          <w:lang w:val="en-US" w:eastAsia="zh-CN"/>
        </w:rPr>
        <w:t>根据当年资金使用情况和申请人的学业成绩、语言水平、家庭经济情况、出访地区的吃住行条件等综合评定，可适当调整各类交流项目的资金使用额度。</w:t>
      </w:r>
    </w:p>
    <w:p>
      <w:pPr>
        <w:numPr>
          <w:ilvl w:val="0"/>
          <w:numId w:val="6"/>
        </w:numPr>
        <w:ind w:firstLine="48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攻读学位的学生，若就读学校不在本细则规定的一、二类学校参考目录内，亦可提出申请，由</w:t>
      </w:r>
      <w:r>
        <w:rPr>
          <w:rFonts w:hint="eastAsia" w:ascii="仿宋" w:hAnsi="仿宋" w:eastAsia="仿宋" w:cs="仿宋"/>
          <w:color w:val="auto"/>
          <w:sz w:val="28"/>
          <w:szCs w:val="28"/>
          <w:highlight w:val="none"/>
          <w:lang w:val="en-US" w:eastAsia="zh-CN"/>
        </w:rPr>
        <w:t>法学一流学科建设执行委员会评审决定是否予以资助。</w:t>
      </w:r>
    </w:p>
    <w:p>
      <w:pPr>
        <w:numPr>
          <w:ilvl w:val="0"/>
          <w:numId w:val="6"/>
        </w:numPr>
        <w:ind w:firstLine="48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获得学校向国家留学基金委统一推荐资助资格和作为师资储备人才赴国外攻读学位的，不再接受本基金资助。</w:t>
      </w:r>
    </w:p>
    <w:p>
      <w:pPr>
        <w:numPr>
          <w:ilvl w:val="0"/>
          <w:numId w:val="6"/>
        </w:numPr>
        <w:ind w:firstLine="48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申请学生若已获得高于本基金标准的其他资助，则不再提供资助；若所获其他资助低于本基金标资，则按本标准补齐差额。</w:t>
      </w:r>
    </w:p>
    <w:p>
      <w:pPr>
        <w:numPr>
          <w:ilvl w:val="0"/>
          <w:numId w:val="6"/>
        </w:numPr>
        <w:ind w:firstLine="480"/>
        <w:rPr>
          <w:rFonts w:hint="eastAsia" w:ascii="仿宋" w:hAnsi="仿宋" w:eastAsia="仿宋" w:cs="仿宋"/>
          <w:sz w:val="28"/>
          <w:szCs w:val="28"/>
        </w:rPr>
      </w:pPr>
      <w:r>
        <w:rPr>
          <w:rFonts w:hint="eastAsia" w:ascii="仿宋" w:hAnsi="仿宋" w:eastAsia="仿宋" w:cs="仿宋"/>
          <w:color w:val="auto"/>
          <w:sz w:val="28"/>
          <w:szCs w:val="28"/>
          <w:lang w:val="en-US" w:eastAsia="zh-CN"/>
        </w:rPr>
        <w:t>对家庭条件特别困难、学习成绩特别优秀、交流学校特别知名的学生，经</w:t>
      </w:r>
      <w:r>
        <w:rPr>
          <w:rFonts w:hint="eastAsia" w:ascii="仿宋" w:hAnsi="仿宋" w:eastAsia="仿宋" w:cs="仿宋"/>
          <w:color w:val="auto"/>
          <w:sz w:val="28"/>
          <w:szCs w:val="28"/>
          <w:highlight w:val="none"/>
          <w:lang w:val="en-US" w:eastAsia="zh-CN"/>
        </w:rPr>
        <w:t>法学一流学科建设执行委员会</w:t>
      </w:r>
      <w:r>
        <w:rPr>
          <w:rFonts w:hint="eastAsia" w:ascii="仿宋" w:hAnsi="仿宋" w:eastAsia="仿宋" w:cs="仿宋"/>
          <w:color w:val="auto"/>
          <w:sz w:val="28"/>
          <w:szCs w:val="28"/>
          <w:lang w:val="en-US" w:eastAsia="zh-CN"/>
        </w:rPr>
        <w:t>评审同意，可予以全额资助。</w:t>
      </w:r>
    </w:p>
    <w:p>
      <w:pPr>
        <w:numPr>
          <w:ilvl w:val="0"/>
          <w:numId w:val="1"/>
        </w:numPr>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 xml:space="preserve"> 资助发放</w:t>
      </w:r>
    </w:p>
    <w:p>
      <w:pPr>
        <w:numPr>
          <w:ilvl w:val="0"/>
          <w:numId w:val="7"/>
        </w:numPr>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u w:val="none"/>
          <w:lang w:val="en-US" w:eastAsia="zh-CN"/>
        </w:rPr>
        <w:t>短期实习、冬夏令营</w:t>
      </w:r>
      <w:r>
        <w:rPr>
          <w:rFonts w:hint="eastAsia" w:ascii="仿宋" w:hAnsi="仿宋" w:eastAsia="仿宋" w:cs="仿宋"/>
          <w:color w:val="auto"/>
          <w:sz w:val="28"/>
          <w:szCs w:val="28"/>
          <w:highlight w:val="none"/>
          <w:lang w:val="en-US" w:eastAsia="zh-CN"/>
        </w:rPr>
        <w:t>在评审结束后一次性发放。</w:t>
      </w:r>
    </w:p>
    <w:p>
      <w:pPr>
        <w:numPr>
          <w:ilvl w:val="0"/>
          <w:numId w:val="7"/>
        </w:numPr>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lang w:val="en-US" w:eastAsia="zh-CN"/>
        </w:rPr>
        <w:t>交换生、访问学者在项目完成后</w:t>
      </w:r>
      <w:r>
        <w:rPr>
          <w:rFonts w:hint="eastAsia" w:ascii="仿宋" w:hAnsi="仿宋" w:eastAsia="仿宋" w:cs="仿宋"/>
          <w:color w:val="auto"/>
          <w:sz w:val="28"/>
          <w:szCs w:val="28"/>
          <w:highlight w:val="none"/>
          <w:u w:val="none"/>
          <w:lang w:val="en-US" w:eastAsia="zh-CN"/>
        </w:rPr>
        <w:t>发放。</w:t>
      </w:r>
    </w:p>
    <w:p>
      <w:pPr>
        <w:numPr>
          <w:ilvl w:val="0"/>
          <w:numId w:val="7"/>
        </w:numPr>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赴国外攻读学位的，学生办理好出国手续后发放70%，获得相应学位后发放30%。</w:t>
      </w:r>
    </w:p>
    <w:p>
      <w:pPr>
        <w:numPr>
          <w:ilvl w:val="0"/>
          <w:numId w:val="1"/>
        </w:numPr>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u w:val="none"/>
          <w:lang w:val="en-US" w:eastAsia="zh-CN"/>
        </w:rPr>
        <w:t>跟踪管理</w:t>
      </w:r>
    </w:p>
    <w:p>
      <w:pPr>
        <w:ind w:firstLine="48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1、获助学生在境外学习期间</w:t>
      </w:r>
      <w:r>
        <w:rPr>
          <w:rFonts w:hint="eastAsia" w:ascii="仿宋" w:hAnsi="仿宋" w:eastAsia="仿宋" w:cs="仿宋"/>
          <w:color w:val="auto"/>
          <w:sz w:val="28"/>
          <w:szCs w:val="28"/>
        </w:rPr>
        <w:t>遵守</w:t>
      </w:r>
      <w:r>
        <w:rPr>
          <w:rFonts w:hint="eastAsia" w:ascii="仿宋" w:hAnsi="仿宋" w:eastAsia="仿宋" w:cs="仿宋"/>
          <w:color w:val="auto"/>
          <w:sz w:val="28"/>
          <w:szCs w:val="28"/>
          <w:lang w:val="en-US" w:eastAsia="zh-CN"/>
        </w:rPr>
        <w:t>相关</w:t>
      </w:r>
      <w:r>
        <w:rPr>
          <w:rFonts w:hint="eastAsia" w:ascii="仿宋" w:hAnsi="仿宋" w:eastAsia="仿宋" w:cs="仿宋"/>
          <w:color w:val="auto"/>
          <w:sz w:val="28"/>
          <w:szCs w:val="28"/>
        </w:rPr>
        <w:t>法律法规及校规校纪，无违法违纪行为。</w:t>
      </w:r>
    </w:p>
    <w:p>
      <w:pPr>
        <w:ind w:firstLine="480"/>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获助学生在境外</w:t>
      </w:r>
      <w:r>
        <w:rPr>
          <w:rFonts w:hint="eastAsia" w:ascii="仿宋" w:hAnsi="仿宋" w:eastAsia="仿宋" w:cs="仿宋"/>
          <w:color w:val="auto"/>
          <w:sz w:val="28"/>
          <w:szCs w:val="28"/>
        </w:rPr>
        <w:t>学习</w:t>
      </w:r>
      <w:r>
        <w:rPr>
          <w:rFonts w:hint="eastAsia" w:ascii="仿宋" w:hAnsi="仿宋" w:eastAsia="仿宋" w:cs="仿宋"/>
          <w:color w:val="auto"/>
          <w:sz w:val="28"/>
          <w:szCs w:val="28"/>
          <w:lang w:val="en-US" w:eastAsia="zh-CN"/>
        </w:rPr>
        <w:t>认真刻苦，</w:t>
      </w:r>
      <w:r>
        <w:rPr>
          <w:rFonts w:hint="eastAsia" w:ascii="仿宋" w:hAnsi="仿宋" w:eastAsia="仿宋" w:cs="仿宋"/>
          <w:color w:val="auto"/>
          <w:sz w:val="28"/>
          <w:szCs w:val="28"/>
        </w:rPr>
        <w:t>成绩优良，</w:t>
      </w:r>
      <w:r>
        <w:rPr>
          <w:rFonts w:hint="eastAsia" w:ascii="仿宋" w:hAnsi="仿宋" w:eastAsia="仿宋" w:cs="仿宋"/>
          <w:color w:val="auto"/>
          <w:sz w:val="28"/>
          <w:szCs w:val="28"/>
          <w:lang w:val="en-US" w:eastAsia="zh-CN"/>
        </w:rPr>
        <w:t>按时完成学业</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若无法完成学业，收回已发放的资助，剩余资助经费将不再发放。</w:t>
      </w:r>
    </w:p>
    <w:p>
      <w:pPr>
        <w:ind w:firstLine="48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3、获助学生应关心母校发展，在适当的时候对母校进行必要的宣传和支持。</w:t>
      </w:r>
    </w:p>
    <w:p>
      <w:pPr>
        <w:ind w:firstLine="48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4、获助学生完成交流（学习）项目后，应在半年内向在校生进行宣讲和经验分享。</w:t>
      </w:r>
    </w:p>
    <w:p>
      <w:pP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第八条  附则</w:t>
      </w:r>
    </w:p>
    <w:p>
      <w:pPr>
        <w:ind w:firstLine="48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1、本实施细则自颁布之日起生效，实施五年。</w:t>
      </w:r>
    </w:p>
    <w:p>
      <w:pPr>
        <w:ind w:firstLine="48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lang w:val="en-US" w:eastAsia="zh-CN"/>
        </w:rPr>
        <w:t>2、本实施细则的最终解释权属</w:t>
      </w:r>
      <w:r>
        <w:rPr>
          <w:rFonts w:hint="eastAsia" w:ascii="仿宋" w:hAnsi="仿宋" w:eastAsia="仿宋" w:cs="仿宋"/>
          <w:color w:val="auto"/>
          <w:sz w:val="28"/>
          <w:szCs w:val="28"/>
          <w:highlight w:val="none"/>
          <w:lang w:val="en-US" w:eastAsia="zh-CN"/>
        </w:rPr>
        <w:t>法学一流学科建设执行委员会。</w:t>
      </w:r>
    </w:p>
    <w:p>
      <w:pPr>
        <w:ind w:firstLine="48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pPr>
        <w:rPr>
          <w:rFonts w:hint="eastAsia" w:asciiTheme="minorEastAsia" w:hAnsiTheme="minorEastAsia" w:eastAsiaTheme="minorEastAsia"/>
          <w:color w:val="auto"/>
          <w:sz w:val="30"/>
          <w:szCs w:val="30"/>
          <w:lang w:eastAsia="zh-CN"/>
        </w:rPr>
      </w:pPr>
      <w:r>
        <w:rPr>
          <w:rFonts w:hint="eastAsia" w:asciiTheme="minorEastAsia" w:hAnsiTheme="minorEastAsia" w:eastAsiaTheme="minorEastAsia"/>
          <w:color w:val="auto"/>
          <w:sz w:val="30"/>
          <w:szCs w:val="30"/>
          <w:lang w:eastAsia="zh-CN"/>
        </w:rPr>
        <w:t>附：</w:t>
      </w:r>
    </w:p>
    <w:p>
      <w:pPr>
        <w:pStyle w:val="2"/>
        <w:jc w:val="center"/>
      </w:pPr>
      <w:r>
        <w:rPr>
          <w:rFonts w:hint="eastAsia"/>
          <w:lang w:eastAsia="zh-CN"/>
        </w:rPr>
        <w:t>“雏鹰扶持计划”资助攻读学位</w:t>
      </w:r>
      <w:r>
        <w:rPr>
          <w:rFonts w:hint="eastAsia"/>
        </w:rPr>
        <w:t>高校</w:t>
      </w:r>
      <w:r>
        <w:rPr>
          <w:rFonts w:hint="eastAsia"/>
          <w:lang w:eastAsia="zh-CN"/>
        </w:rPr>
        <w:t>参考目录</w:t>
      </w:r>
    </w:p>
    <w:tbl>
      <w:tblPr>
        <w:tblStyle w:val="4"/>
        <w:tblW w:w="8323" w:type="dxa"/>
        <w:tblInd w:w="0" w:type="dxa"/>
        <w:tblLayout w:type="fixed"/>
        <w:tblCellMar>
          <w:top w:w="15" w:type="dxa"/>
          <w:left w:w="15" w:type="dxa"/>
          <w:bottom w:w="15" w:type="dxa"/>
          <w:right w:w="15" w:type="dxa"/>
        </w:tblCellMar>
      </w:tblPr>
      <w:tblGrid>
        <w:gridCol w:w="1618"/>
        <w:gridCol w:w="810"/>
        <w:gridCol w:w="3765"/>
        <w:gridCol w:w="2130"/>
      </w:tblGrid>
      <w:tr>
        <w:tblPrEx>
          <w:tblLayout w:type="fixed"/>
          <w:tblCellMar>
            <w:top w:w="15" w:type="dxa"/>
            <w:left w:w="15" w:type="dxa"/>
            <w:bottom w:w="15" w:type="dxa"/>
            <w:right w:w="15" w:type="dxa"/>
          </w:tblCellMar>
        </w:tblPrEx>
        <w:trPr>
          <w:trHeight w:val="285" w:hRule="atLeast"/>
        </w:trPr>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b/>
                <w:bCs/>
                <w:color w:val="auto"/>
                <w:sz w:val="30"/>
                <w:szCs w:val="30"/>
              </w:rPr>
            </w:pPr>
            <w:r>
              <w:rPr>
                <w:rFonts w:hint="eastAsia" w:asciiTheme="minorEastAsia" w:hAnsiTheme="minorEastAsia" w:eastAsiaTheme="minorEastAsia"/>
                <w:b/>
                <w:bCs/>
                <w:color w:val="auto"/>
                <w:kern w:val="0"/>
                <w:sz w:val="30"/>
                <w:szCs w:val="30"/>
              </w:rPr>
              <w:t>等级</w:t>
            </w:r>
          </w:p>
        </w:tc>
        <w:tc>
          <w:tcPr>
            <w:tcW w:w="810"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Theme="minorEastAsia" w:hAnsiTheme="minorEastAsia" w:eastAsiaTheme="minorEastAsia"/>
                <w:b/>
                <w:bCs/>
                <w:color w:val="auto"/>
                <w:kern w:val="0"/>
                <w:sz w:val="30"/>
                <w:szCs w:val="30"/>
              </w:rPr>
            </w:pPr>
            <w:r>
              <w:rPr>
                <w:rFonts w:hint="eastAsia" w:asciiTheme="minorEastAsia" w:hAnsiTheme="minorEastAsia" w:eastAsiaTheme="minorEastAsia"/>
                <w:b/>
                <w:bCs/>
                <w:color w:val="auto"/>
                <w:kern w:val="0"/>
                <w:sz w:val="30"/>
                <w:szCs w:val="30"/>
              </w:rPr>
              <w:t>序号</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b/>
                <w:bCs/>
                <w:color w:val="auto"/>
                <w:sz w:val="30"/>
                <w:szCs w:val="30"/>
              </w:rPr>
            </w:pPr>
            <w:r>
              <w:rPr>
                <w:rFonts w:hint="eastAsia" w:asciiTheme="minorEastAsia" w:hAnsiTheme="minorEastAsia" w:eastAsiaTheme="minorEastAsia"/>
                <w:b/>
                <w:bCs/>
                <w:color w:val="auto"/>
                <w:kern w:val="0"/>
                <w:sz w:val="30"/>
                <w:szCs w:val="30"/>
              </w:rPr>
              <w:t>学校</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b/>
                <w:bCs/>
                <w:color w:val="auto"/>
                <w:sz w:val="30"/>
                <w:szCs w:val="30"/>
              </w:rPr>
            </w:pPr>
            <w:r>
              <w:rPr>
                <w:rFonts w:hint="eastAsia" w:asciiTheme="minorEastAsia" w:hAnsiTheme="minorEastAsia" w:eastAsiaTheme="minorEastAsia"/>
                <w:b/>
                <w:bCs/>
                <w:color w:val="auto"/>
                <w:kern w:val="0"/>
                <w:sz w:val="30"/>
                <w:szCs w:val="30"/>
              </w:rPr>
              <w:t>国家（地区）</w:t>
            </w:r>
          </w:p>
        </w:tc>
      </w:tr>
      <w:tr>
        <w:tblPrEx>
          <w:tblLayout w:type="fixed"/>
          <w:tblCellMar>
            <w:top w:w="15" w:type="dxa"/>
            <w:left w:w="15" w:type="dxa"/>
            <w:bottom w:w="15" w:type="dxa"/>
            <w:right w:w="15" w:type="dxa"/>
          </w:tblCellMar>
        </w:tblPrEx>
        <w:trPr>
          <w:trHeight w:val="285" w:hRule="atLeast"/>
        </w:trPr>
        <w:tc>
          <w:tcPr>
            <w:tcW w:w="1618"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color w:val="auto"/>
                <w:sz w:val="30"/>
                <w:szCs w:val="30"/>
              </w:rPr>
            </w:pPr>
            <w:r>
              <w:rPr>
                <w:rFonts w:hint="eastAsia" w:asciiTheme="minorEastAsia" w:hAnsiTheme="minorEastAsia" w:eastAsiaTheme="minorEastAsia"/>
                <w:color w:val="auto"/>
                <w:kern w:val="0"/>
                <w:sz w:val="30"/>
                <w:szCs w:val="30"/>
              </w:rPr>
              <w:t>一类</w:t>
            </w:r>
          </w:p>
        </w:tc>
        <w:tc>
          <w:tcPr>
            <w:tcW w:w="810" w:type="dxa"/>
            <w:tcBorders>
              <w:top w:val="single" w:color="000000" w:sz="4" w:space="0"/>
              <w:left w:val="single" w:color="000000" w:sz="4" w:space="0"/>
              <w:bottom w:val="single" w:color="000000" w:sz="4" w:space="0"/>
              <w:right w:val="single" w:color="000000" w:sz="4" w:space="0"/>
            </w:tcBorders>
          </w:tcPr>
          <w:p>
            <w:pPr>
              <w:jc w:val="center"/>
              <w:textAlignment w:val="top"/>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1</w:t>
            </w:r>
          </w:p>
        </w:tc>
        <w:tc>
          <w:tcPr>
            <w:tcW w:w="3765" w:type="dxa"/>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asciiTheme="minorEastAsia" w:hAnsiTheme="minorEastAsia" w:eastAsiaTheme="minorEastAsia"/>
                <w:color w:val="auto"/>
                <w:sz w:val="30"/>
                <w:szCs w:val="30"/>
              </w:rPr>
            </w:pPr>
            <w:r>
              <w:rPr>
                <w:rFonts w:hint="eastAsia" w:asciiTheme="minorEastAsia" w:hAnsiTheme="minorEastAsia" w:eastAsiaTheme="minorEastAsia"/>
                <w:color w:val="auto"/>
                <w:kern w:val="0"/>
                <w:sz w:val="30"/>
                <w:szCs w:val="30"/>
              </w:rPr>
              <w:t>哈佛大学</w:t>
            </w:r>
          </w:p>
        </w:tc>
        <w:tc>
          <w:tcPr>
            <w:tcW w:w="2130" w:type="dxa"/>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asciiTheme="minorEastAsia" w:hAnsiTheme="minorEastAsia" w:eastAsiaTheme="minorEastAsia"/>
                <w:color w:val="auto"/>
                <w:sz w:val="30"/>
                <w:szCs w:val="30"/>
              </w:rPr>
            </w:pPr>
            <w:r>
              <w:rPr>
                <w:rFonts w:hint="eastAsia" w:asciiTheme="minorEastAsia" w:hAnsiTheme="minorEastAsia" w:eastAsiaTheme="minorEastAsia"/>
                <w:color w:val="auto"/>
                <w:kern w:val="0"/>
                <w:sz w:val="30"/>
                <w:szCs w:val="30"/>
              </w:rPr>
              <w:t>美国</w:t>
            </w:r>
          </w:p>
        </w:tc>
      </w:tr>
      <w:tr>
        <w:tblPrEx>
          <w:tblLayout w:type="fixed"/>
          <w:tblCellMar>
            <w:top w:w="15" w:type="dxa"/>
            <w:left w:w="15" w:type="dxa"/>
            <w:bottom w:w="15" w:type="dxa"/>
            <w:right w:w="15" w:type="dxa"/>
          </w:tblCellMar>
        </w:tblPrEx>
        <w:trPr>
          <w:trHeight w:val="285" w:hRule="atLeast"/>
        </w:trPr>
        <w:tc>
          <w:tcPr>
            <w:tcW w:w="1618" w:type="dxa"/>
            <w:vMerge w:val="continue"/>
            <w:tcBorders>
              <w:left w:val="single" w:color="000000" w:sz="4" w:space="0"/>
              <w:right w:val="single" w:color="000000" w:sz="4" w:space="0"/>
            </w:tcBorders>
            <w:shd w:val="clear" w:color="auto" w:fill="auto"/>
            <w:vAlign w:val="center"/>
          </w:tcPr>
          <w:p>
            <w:pPr>
              <w:jc w:val="center"/>
              <w:rPr>
                <w:rFonts w:asciiTheme="minorEastAsia" w:hAnsiTheme="minorEastAsia" w:eastAsiaTheme="minorEastAsia"/>
                <w:color w:val="auto"/>
                <w:sz w:val="30"/>
                <w:szCs w:val="30"/>
              </w:rPr>
            </w:pPr>
          </w:p>
        </w:tc>
        <w:tc>
          <w:tcPr>
            <w:tcW w:w="810" w:type="dxa"/>
            <w:tcBorders>
              <w:top w:val="single" w:color="000000" w:sz="4" w:space="0"/>
              <w:left w:val="single" w:color="000000" w:sz="4" w:space="0"/>
              <w:bottom w:val="single" w:color="000000" w:sz="4" w:space="0"/>
              <w:right w:val="single" w:color="000000" w:sz="4" w:space="0"/>
            </w:tcBorders>
          </w:tcPr>
          <w:p>
            <w:pPr>
              <w:jc w:val="center"/>
              <w:textAlignment w:val="top"/>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2</w:t>
            </w:r>
          </w:p>
        </w:tc>
        <w:tc>
          <w:tcPr>
            <w:tcW w:w="3765" w:type="dxa"/>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asciiTheme="minorEastAsia" w:hAnsiTheme="minorEastAsia" w:eastAsiaTheme="minorEastAsia"/>
                <w:color w:val="auto"/>
                <w:sz w:val="30"/>
                <w:szCs w:val="30"/>
              </w:rPr>
            </w:pPr>
            <w:r>
              <w:rPr>
                <w:rFonts w:hint="eastAsia" w:asciiTheme="minorEastAsia" w:hAnsiTheme="minorEastAsia" w:eastAsiaTheme="minorEastAsia"/>
                <w:color w:val="auto"/>
                <w:kern w:val="0"/>
                <w:sz w:val="30"/>
                <w:szCs w:val="30"/>
              </w:rPr>
              <w:t>牛津大学</w:t>
            </w:r>
          </w:p>
        </w:tc>
        <w:tc>
          <w:tcPr>
            <w:tcW w:w="2130" w:type="dxa"/>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asciiTheme="minorEastAsia" w:hAnsiTheme="minorEastAsia" w:eastAsiaTheme="minorEastAsia"/>
                <w:color w:val="auto"/>
                <w:sz w:val="30"/>
                <w:szCs w:val="30"/>
              </w:rPr>
            </w:pPr>
            <w:r>
              <w:rPr>
                <w:rFonts w:hint="eastAsia" w:asciiTheme="minorEastAsia" w:hAnsiTheme="minorEastAsia" w:eastAsiaTheme="minorEastAsia"/>
                <w:color w:val="auto"/>
                <w:kern w:val="0"/>
                <w:sz w:val="30"/>
                <w:szCs w:val="30"/>
              </w:rPr>
              <w:t>英国</w:t>
            </w:r>
          </w:p>
        </w:tc>
      </w:tr>
      <w:tr>
        <w:tblPrEx>
          <w:tblLayout w:type="fixed"/>
          <w:tblCellMar>
            <w:top w:w="15" w:type="dxa"/>
            <w:left w:w="15" w:type="dxa"/>
            <w:bottom w:w="15" w:type="dxa"/>
            <w:right w:w="15" w:type="dxa"/>
          </w:tblCellMar>
        </w:tblPrEx>
        <w:trPr>
          <w:trHeight w:val="285" w:hRule="atLeast"/>
        </w:trPr>
        <w:tc>
          <w:tcPr>
            <w:tcW w:w="1618" w:type="dxa"/>
            <w:vMerge w:val="continue"/>
            <w:tcBorders>
              <w:left w:val="single" w:color="000000" w:sz="4" w:space="0"/>
              <w:right w:val="single" w:color="000000" w:sz="4" w:space="0"/>
            </w:tcBorders>
            <w:shd w:val="clear" w:color="auto" w:fill="auto"/>
            <w:vAlign w:val="center"/>
          </w:tcPr>
          <w:p>
            <w:pPr>
              <w:jc w:val="center"/>
              <w:rPr>
                <w:rFonts w:asciiTheme="minorEastAsia" w:hAnsiTheme="minorEastAsia" w:eastAsiaTheme="minorEastAsia"/>
                <w:color w:val="auto"/>
                <w:sz w:val="30"/>
                <w:szCs w:val="30"/>
              </w:rPr>
            </w:pPr>
          </w:p>
        </w:tc>
        <w:tc>
          <w:tcPr>
            <w:tcW w:w="810" w:type="dxa"/>
            <w:tcBorders>
              <w:top w:val="single" w:color="000000" w:sz="4" w:space="0"/>
              <w:left w:val="single" w:color="000000" w:sz="4" w:space="0"/>
              <w:bottom w:val="single" w:color="000000" w:sz="4" w:space="0"/>
              <w:right w:val="single" w:color="000000" w:sz="4" w:space="0"/>
            </w:tcBorders>
          </w:tcPr>
          <w:p>
            <w:pPr>
              <w:jc w:val="center"/>
              <w:textAlignment w:val="top"/>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3</w:t>
            </w:r>
          </w:p>
        </w:tc>
        <w:tc>
          <w:tcPr>
            <w:tcW w:w="3765" w:type="dxa"/>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asciiTheme="minorEastAsia" w:hAnsiTheme="minorEastAsia" w:eastAsiaTheme="minorEastAsia"/>
                <w:color w:val="auto"/>
                <w:sz w:val="30"/>
                <w:szCs w:val="30"/>
              </w:rPr>
            </w:pPr>
            <w:r>
              <w:rPr>
                <w:rFonts w:hint="eastAsia" w:asciiTheme="minorEastAsia" w:hAnsiTheme="minorEastAsia" w:eastAsiaTheme="minorEastAsia"/>
                <w:color w:val="auto"/>
                <w:kern w:val="0"/>
                <w:sz w:val="30"/>
                <w:szCs w:val="30"/>
              </w:rPr>
              <w:t>剑桥大学</w:t>
            </w:r>
          </w:p>
        </w:tc>
        <w:tc>
          <w:tcPr>
            <w:tcW w:w="2130" w:type="dxa"/>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asciiTheme="minorEastAsia" w:hAnsiTheme="minorEastAsia" w:eastAsiaTheme="minorEastAsia"/>
                <w:color w:val="auto"/>
                <w:sz w:val="30"/>
                <w:szCs w:val="30"/>
              </w:rPr>
            </w:pPr>
            <w:r>
              <w:rPr>
                <w:rFonts w:hint="eastAsia" w:asciiTheme="minorEastAsia" w:hAnsiTheme="minorEastAsia" w:eastAsiaTheme="minorEastAsia"/>
                <w:color w:val="auto"/>
                <w:kern w:val="0"/>
                <w:sz w:val="30"/>
                <w:szCs w:val="30"/>
              </w:rPr>
              <w:t>英国</w:t>
            </w:r>
          </w:p>
        </w:tc>
      </w:tr>
      <w:tr>
        <w:tblPrEx>
          <w:tblLayout w:type="fixed"/>
          <w:tblCellMar>
            <w:top w:w="15" w:type="dxa"/>
            <w:left w:w="15" w:type="dxa"/>
            <w:bottom w:w="15" w:type="dxa"/>
            <w:right w:w="15" w:type="dxa"/>
          </w:tblCellMar>
        </w:tblPrEx>
        <w:trPr>
          <w:trHeight w:val="285" w:hRule="atLeast"/>
        </w:trPr>
        <w:tc>
          <w:tcPr>
            <w:tcW w:w="1618" w:type="dxa"/>
            <w:vMerge w:val="continue"/>
            <w:tcBorders>
              <w:left w:val="single" w:color="000000" w:sz="4" w:space="0"/>
              <w:right w:val="single" w:color="000000" w:sz="4" w:space="0"/>
            </w:tcBorders>
            <w:shd w:val="clear" w:color="auto" w:fill="auto"/>
            <w:vAlign w:val="center"/>
          </w:tcPr>
          <w:p>
            <w:pPr>
              <w:jc w:val="center"/>
              <w:rPr>
                <w:rFonts w:asciiTheme="minorEastAsia" w:hAnsiTheme="minorEastAsia" w:eastAsiaTheme="minorEastAsia"/>
                <w:color w:val="auto"/>
                <w:sz w:val="30"/>
                <w:szCs w:val="30"/>
              </w:rPr>
            </w:pPr>
          </w:p>
        </w:tc>
        <w:tc>
          <w:tcPr>
            <w:tcW w:w="810" w:type="dxa"/>
            <w:tcBorders>
              <w:top w:val="single" w:color="000000" w:sz="4" w:space="0"/>
              <w:left w:val="single" w:color="000000" w:sz="4" w:space="0"/>
              <w:bottom w:val="single" w:color="000000" w:sz="4" w:space="0"/>
              <w:right w:val="single" w:color="000000" w:sz="4" w:space="0"/>
            </w:tcBorders>
          </w:tcPr>
          <w:p>
            <w:pPr>
              <w:jc w:val="center"/>
              <w:textAlignment w:val="top"/>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4</w:t>
            </w:r>
          </w:p>
        </w:tc>
        <w:tc>
          <w:tcPr>
            <w:tcW w:w="3765" w:type="dxa"/>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asciiTheme="minorEastAsia" w:hAnsiTheme="minorEastAsia" w:eastAsiaTheme="minorEastAsia"/>
                <w:color w:val="auto"/>
                <w:sz w:val="30"/>
                <w:szCs w:val="30"/>
              </w:rPr>
            </w:pPr>
            <w:r>
              <w:rPr>
                <w:rFonts w:hint="eastAsia" w:asciiTheme="minorEastAsia" w:hAnsiTheme="minorEastAsia" w:eastAsiaTheme="minorEastAsia"/>
                <w:color w:val="auto"/>
                <w:kern w:val="0"/>
                <w:sz w:val="30"/>
                <w:szCs w:val="30"/>
              </w:rPr>
              <w:t>耶鲁大学</w:t>
            </w:r>
          </w:p>
        </w:tc>
        <w:tc>
          <w:tcPr>
            <w:tcW w:w="2130" w:type="dxa"/>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asciiTheme="minorEastAsia" w:hAnsiTheme="minorEastAsia" w:eastAsiaTheme="minorEastAsia"/>
                <w:color w:val="auto"/>
                <w:sz w:val="30"/>
                <w:szCs w:val="30"/>
              </w:rPr>
            </w:pPr>
            <w:r>
              <w:rPr>
                <w:rFonts w:hint="eastAsia" w:asciiTheme="minorEastAsia" w:hAnsiTheme="minorEastAsia" w:eastAsiaTheme="minorEastAsia"/>
                <w:color w:val="auto"/>
                <w:kern w:val="0"/>
                <w:sz w:val="30"/>
                <w:szCs w:val="30"/>
              </w:rPr>
              <w:t>美国</w:t>
            </w:r>
          </w:p>
        </w:tc>
      </w:tr>
      <w:tr>
        <w:tblPrEx>
          <w:tblLayout w:type="fixed"/>
          <w:tblCellMar>
            <w:top w:w="15" w:type="dxa"/>
            <w:left w:w="15" w:type="dxa"/>
            <w:bottom w:w="15" w:type="dxa"/>
            <w:right w:w="15" w:type="dxa"/>
          </w:tblCellMar>
        </w:tblPrEx>
        <w:trPr>
          <w:trHeight w:val="285" w:hRule="atLeast"/>
        </w:trPr>
        <w:tc>
          <w:tcPr>
            <w:tcW w:w="1618" w:type="dxa"/>
            <w:vMerge w:val="continue"/>
            <w:tcBorders>
              <w:left w:val="single" w:color="000000" w:sz="4" w:space="0"/>
              <w:right w:val="single" w:color="000000" w:sz="4" w:space="0"/>
            </w:tcBorders>
            <w:shd w:val="clear" w:color="auto" w:fill="auto"/>
            <w:vAlign w:val="center"/>
          </w:tcPr>
          <w:p>
            <w:pPr>
              <w:jc w:val="center"/>
              <w:rPr>
                <w:rFonts w:asciiTheme="minorEastAsia" w:hAnsiTheme="minorEastAsia" w:eastAsiaTheme="minorEastAsia"/>
                <w:color w:val="auto"/>
                <w:sz w:val="30"/>
                <w:szCs w:val="30"/>
              </w:rPr>
            </w:pPr>
          </w:p>
        </w:tc>
        <w:tc>
          <w:tcPr>
            <w:tcW w:w="810" w:type="dxa"/>
            <w:tcBorders>
              <w:top w:val="single" w:color="000000" w:sz="4" w:space="0"/>
              <w:left w:val="single" w:color="000000" w:sz="4" w:space="0"/>
              <w:bottom w:val="single" w:color="000000" w:sz="4" w:space="0"/>
              <w:right w:val="single" w:color="000000" w:sz="4" w:space="0"/>
            </w:tcBorders>
          </w:tcPr>
          <w:p>
            <w:pPr>
              <w:jc w:val="center"/>
              <w:textAlignment w:val="top"/>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5</w:t>
            </w:r>
          </w:p>
        </w:tc>
        <w:tc>
          <w:tcPr>
            <w:tcW w:w="3765" w:type="dxa"/>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asciiTheme="minorEastAsia" w:hAnsiTheme="minorEastAsia" w:eastAsiaTheme="minorEastAsia"/>
                <w:color w:val="auto"/>
                <w:sz w:val="30"/>
                <w:szCs w:val="30"/>
              </w:rPr>
            </w:pPr>
            <w:r>
              <w:rPr>
                <w:rFonts w:hint="eastAsia" w:asciiTheme="minorEastAsia" w:hAnsiTheme="minorEastAsia" w:eastAsiaTheme="minorEastAsia"/>
                <w:color w:val="auto"/>
                <w:kern w:val="0"/>
                <w:sz w:val="30"/>
                <w:szCs w:val="30"/>
              </w:rPr>
              <w:t>斯坦福大学</w:t>
            </w:r>
          </w:p>
        </w:tc>
        <w:tc>
          <w:tcPr>
            <w:tcW w:w="2130" w:type="dxa"/>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asciiTheme="minorEastAsia" w:hAnsiTheme="minorEastAsia" w:eastAsiaTheme="minorEastAsia"/>
                <w:color w:val="auto"/>
                <w:sz w:val="30"/>
                <w:szCs w:val="30"/>
              </w:rPr>
            </w:pPr>
            <w:r>
              <w:rPr>
                <w:rFonts w:hint="eastAsia" w:asciiTheme="minorEastAsia" w:hAnsiTheme="minorEastAsia" w:eastAsiaTheme="minorEastAsia"/>
                <w:color w:val="auto"/>
                <w:kern w:val="0"/>
                <w:sz w:val="30"/>
                <w:szCs w:val="30"/>
              </w:rPr>
              <w:t>美国</w:t>
            </w:r>
          </w:p>
        </w:tc>
      </w:tr>
      <w:tr>
        <w:tblPrEx>
          <w:tblLayout w:type="fixed"/>
          <w:tblCellMar>
            <w:top w:w="15" w:type="dxa"/>
            <w:left w:w="15" w:type="dxa"/>
            <w:bottom w:w="15" w:type="dxa"/>
            <w:right w:w="15" w:type="dxa"/>
          </w:tblCellMar>
        </w:tblPrEx>
        <w:trPr>
          <w:trHeight w:val="285" w:hRule="atLeast"/>
        </w:trPr>
        <w:tc>
          <w:tcPr>
            <w:tcW w:w="1618" w:type="dxa"/>
            <w:vMerge w:val="continue"/>
            <w:tcBorders>
              <w:left w:val="single" w:color="000000" w:sz="4" w:space="0"/>
              <w:right w:val="single" w:color="000000" w:sz="4" w:space="0"/>
            </w:tcBorders>
            <w:shd w:val="clear" w:color="auto" w:fill="auto"/>
            <w:vAlign w:val="center"/>
          </w:tcPr>
          <w:p>
            <w:pPr>
              <w:jc w:val="center"/>
              <w:rPr>
                <w:rFonts w:asciiTheme="minorEastAsia" w:hAnsiTheme="minorEastAsia" w:eastAsiaTheme="minorEastAsia"/>
                <w:color w:val="auto"/>
                <w:sz w:val="30"/>
                <w:szCs w:val="30"/>
              </w:rPr>
            </w:pPr>
          </w:p>
        </w:tc>
        <w:tc>
          <w:tcPr>
            <w:tcW w:w="810" w:type="dxa"/>
            <w:tcBorders>
              <w:top w:val="single" w:color="000000" w:sz="4" w:space="0"/>
              <w:left w:val="single" w:color="000000" w:sz="4" w:space="0"/>
              <w:bottom w:val="single" w:color="000000" w:sz="4" w:space="0"/>
              <w:right w:val="single" w:color="000000" w:sz="4" w:space="0"/>
            </w:tcBorders>
          </w:tcPr>
          <w:p>
            <w:pPr>
              <w:jc w:val="center"/>
              <w:textAlignment w:val="top"/>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6</w:t>
            </w:r>
          </w:p>
        </w:tc>
        <w:tc>
          <w:tcPr>
            <w:tcW w:w="3765" w:type="dxa"/>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asciiTheme="minorEastAsia" w:hAnsiTheme="minorEastAsia" w:eastAsiaTheme="minorEastAsia"/>
                <w:color w:val="auto"/>
                <w:sz w:val="30"/>
                <w:szCs w:val="30"/>
              </w:rPr>
            </w:pPr>
            <w:r>
              <w:rPr>
                <w:rFonts w:hint="eastAsia" w:asciiTheme="minorEastAsia" w:hAnsiTheme="minorEastAsia" w:eastAsiaTheme="minorEastAsia"/>
                <w:color w:val="auto"/>
                <w:kern w:val="0"/>
                <w:sz w:val="30"/>
                <w:szCs w:val="30"/>
              </w:rPr>
              <w:t>纽约大学</w:t>
            </w:r>
          </w:p>
        </w:tc>
        <w:tc>
          <w:tcPr>
            <w:tcW w:w="2130" w:type="dxa"/>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asciiTheme="minorEastAsia" w:hAnsiTheme="minorEastAsia" w:eastAsiaTheme="minorEastAsia"/>
                <w:color w:val="auto"/>
                <w:sz w:val="30"/>
                <w:szCs w:val="30"/>
              </w:rPr>
            </w:pPr>
            <w:r>
              <w:rPr>
                <w:rFonts w:hint="eastAsia" w:asciiTheme="minorEastAsia" w:hAnsiTheme="minorEastAsia" w:eastAsiaTheme="minorEastAsia"/>
                <w:color w:val="auto"/>
                <w:kern w:val="0"/>
                <w:sz w:val="30"/>
                <w:szCs w:val="30"/>
              </w:rPr>
              <w:t>美国</w:t>
            </w:r>
          </w:p>
        </w:tc>
      </w:tr>
      <w:tr>
        <w:tblPrEx>
          <w:tblLayout w:type="fixed"/>
          <w:tblCellMar>
            <w:top w:w="15" w:type="dxa"/>
            <w:left w:w="15" w:type="dxa"/>
            <w:bottom w:w="15" w:type="dxa"/>
            <w:right w:w="15" w:type="dxa"/>
          </w:tblCellMar>
        </w:tblPrEx>
        <w:trPr>
          <w:trHeight w:val="285" w:hRule="atLeast"/>
        </w:trPr>
        <w:tc>
          <w:tcPr>
            <w:tcW w:w="1618" w:type="dxa"/>
            <w:vMerge w:val="continue"/>
            <w:tcBorders>
              <w:left w:val="single" w:color="000000" w:sz="4" w:space="0"/>
              <w:right w:val="single" w:color="000000" w:sz="4" w:space="0"/>
            </w:tcBorders>
            <w:shd w:val="clear" w:color="auto" w:fill="auto"/>
            <w:vAlign w:val="center"/>
          </w:tcPr>
          <w:p>
            <w:pPr>
              <w:jc w:val="center"/>
              <w:rPr>
                <w:rFonts w:asciiTheme="minorEastAsia" w:hAnsiTheme="minorEastAsia" w:eastAsiaTheme="minorEastAsia"/>
                <w:color w:val="auto"/>
                <w:sz w:val="30"/>
                <w:szCs w:val="30"/>
              </w:rPr>
            </w:pPr>
          </w:p>
        </w:tc>
        <w:tc>
          <w:tcPr>
            <w:tcW w:w="810" w:type="dxa"/>
            <w:tcBorders>
              <w:top w:val="single" w:color="000000" w:sz="4" w:space="0"/>
              <w:left w:val="single" w:color="000000" w:sz="4" w:space="0"/>
              <w:bottom w:val="single" w:color="000000" w:sz="4" w:space="0"/>
              <w:right w:val="single" w:color="000000" w:sz="4" w:space="0"/>
            </w:tcBorders>
          </w:tcPr>
          <w:p>
            <w:pPr>
              <w:jc w:val="center"/>
              <w:textAlignment w:val="top"/>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7</w:t>
            </w:r>
          </w:p>
        </w:tc>
        <w:tc>
          <w:tcPr>
            <w:tcW w:w="3765" w:type="dxa"/>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asciiTheme="minorEastAsia" w:hAnsiTheme="minorEastAsia" w:eastAsiaTheme="minorEastAsia"/>
                <w:color w:val="auto"/>
                <w:sz w:val="30"/>
                <w:szCs w:val="30"/>
              </w:rPr>
            </w:pPr>
            <w:r>
              <w:rPr>
                <w:rFonts w:hint="eastAsia" w:asciiTheme="minorEastAsia" w:hAnsiTheme="minorEastAsia" w:eastAsiaTheme="minorEastAsia"/>
                <w:color w:val="auto"/>
                <w:kern w:val="0"/>
                <w:sz w:val="30"/>
                <w:szCs w:val="30"/>
              </w:rPr>
              <w:t>伦敦政治经济学院</w:t>
            </w:r>
          </w:p>
        </w:tc>
        <w:tc>
          <w:tcPr>
            <w:tcW w:w="2130" w:type="dxa"/>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asciiTheme="minorEastAsia" w:hAnsiTheme="minorEastAsia" w:eastAsiaTheme="minorEastAsia"/>
                <w:color w:val="auto"/>
                <w:sz w:val="30"/>
                <w:szCs w:val="30"/>
              </w:rPr>
            </w:pPr>
            <w:r>
              <w:rPr>
                <w:rFonts w:hint="eastAsia" w:asciiTheme="minorEastAsia" w:hAnsiTheme="minorEastAsia" w:eastAsiaTheme="minorEastAsia"/>
                <w:color w:val="auto"/>
                <w:kern w:val="0"/>
                <w:sz w:val="30"/>
                <w:szCs w:val="30"/>
              </w:rPr>
              <w:t>英国</w:t>
            </w:r>
          </w:p>
        </w:tc>
      </w:tr>
      <w:tr>
        <w:tblPrEx>
          <w:tblLayout w:type="fixed"/>
          <w:tblCellMar>
            <w:top w:w="15" w:type="dxa"/>
            <w:left w:w="15" w:type="dxa"/>
            <w:bottom w:w="15" w:type="dxa"/>
            <w:right w:w="15" w:type="dxa"/>
          </w:tblCellMar>
        </w:tblPrEx>
        <w:trPr>
          <w:trHeight w:val="285" w:hRule="atLeast"/>
        </w:trPr>
        <w:tc>
          <w:tcPr>
            <w:tcW w:w="1618" w:type="dxa"/>
            <w:vMerge w:val="continue"/>
            <w:tcBorders>
              <w:left w:val="single" w:color="000000" w:sz="4" w:space="0"/>
              <w:right w:val="single" w:color="000000" w:sz="4" w:space="0"/>
            </w:tcBorders>
            <w:shd w:val="clear" w:color="auto" w:fill="auto"/>
            <w:vAlign w:val="center"/>
          </w:tcPr>
          <w:p>
            <w:pPr>
              <w:jc w:val="center"/>
              <w:rPr>
                <w:rFonts w:asciiTheme="minorEastAsia" w:hAnsiTheme="minorEastAsia" w:eastAsiaTheme="minorEastAsia"/>
                <w:color w:val="auto"/>
                <w:sz w:val="30"/>
                <w:szCs w:val="30"/>
              </w:rPr>
            </w:pPr>
          </w:p>
        </w:tc>
        <w:tc>
          <w:tcPr>
            <w:tcW w:w="810" w:type="dxa"/>
            <w:tcBorders>
              <w:top w:val="single" w:color="000000" w:sz="4" w:space="0"/>
              <w:left w:val="single" w:color="000000" w:sz="4" w:space="0"/>
              <w:bottom w:val="single" w:color="000000" w:sz="4" w:space="0"/>
              <w:right w:val="single" w:color="000000" w:sz="4" w:space="0"/>
            </w:tcBorders>
          </w:tcPr>
          <w:p>
            <w:pPr>
              <w:jc w:val="center"/>
              <w:textAlignment w:val="top"/>
              <w:rPr>
                <w:rFonts w:asciiTheme="minorEastAsia" w:hAnsiTheme="minorEastAsia" w:eastAsiaTheme="minorEastAsia"/>
                <w:color w:val="auto"/>
                <w:sz w:val="30"/>
                <w:szCs w:val="30"/>
              </w:rPr>
            </w:pPr>
            <w:r>
              <w:rPr>
                <w:rFonts w:hint="eastAsia" w:asciiTheme="minorEastAsia" w:hAnsiTheme="minorEastAsia" w:eastAsiaTheme="minorEastAsia"/>
                <w:color w:val="auto"/>
                <w:sz w:val="30"/>
                <w:szCs w:val="30"/>
              </w:rPr>
              <w:t>8</w:t>
            </w:r>
          </w:p>
        </w:tc>
        <w:tc>
          <w:tcPr>
            <w:tcW w:w="3765" w:type="dxa"/>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asciiTheme="minorEastAsia" w:hAnsiTheme="minorEastAsia" w:eastAsiaTheme="minorEastAsia"/>
                <w:color w:val="auto"/>
                <w:sz w:val="30"/>
                <w:szCs w:val="30"/>
              </w:rPr>
            </w:pPr>
            <w:r>
              <w:rPr>
                <w:rFonts w:hint="eastAsia" w:asciiTheme="minorEastAsia" w:hAnsiTheme="minorEastAsia" w:eastAsiaTheme="minorEastAsia"/>
                <w:color w:val="auto"/>
                <w:sz w:val="30"/>
                <w:szCs w:val="30"/>
              </w:rPr>
              <w:t>墨尔本大学</w:t>
            </w:r>
          </w:p>
        </w:tc>
        <w:tc>
          <w:tcPr>
            <w:tcW w:w="2130" w:type="dxa"/>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asciiTheme="minorEastAsia" w:hAnsiTheme="minorEastAsia" w:eastAsiaTheme="minorEastAsia"/>
                <w:color w:val="auto"/>
                <w:sz w:val="30"/>
                <w:szCs w:val="30"/>
              </w:rPr>
            </w:pPr>
            <w:r>
              <w:rPr>
                <w:rFonts w:hint="eastAsia" w:asciiTheme="minorEastAsia" w:hAnsiTheme="minorEastAsia" w:eastAsiaTheme="minorEastAsia"/>
                <w:color w:val="auto"/>
                <w:kern w:val="0"/>
                <w:sz w:val="30"/>
                <w:szCs w:val="30"/>
              </w:rPr>
              <w:t>澳大利亚</w:t>
            </w:r>
          </w:p>
        </w:tc>
      </w:tr>
      <w:tr>
        <w:tblPrEx>
          <w:tblLayout w:type="fixed"/>
          <w:tblCellMar>
            <w:top w:w="15" w:type="dxa"/>
            <w:left w:w="15" w:type="dxa"/>
            <w:bottom w:w="15" w:type="dxa"/>
            <w:right w:w="15" w:type="dxa"/>
          </w:tblCellMar>
        </w:tblPrEx>
        <w:trPr>
          <w:trHeight w:val="285" w:hRule="atLeast"/>
        </w:trPr>
        <w:tc>
          <w:tcPr>
            <w:tcW w:w="1618" w:type="dxa"/>
            <w:vMerge w:val="continue"/>
            <w:tcBorders>
              <w:left w:val="single" w:color="000000" w:sz="4" w:space="0"/>
              <w:right w:val="single" w:color="000000" w:sz="4" w:space="0"/>
            </w:tcBorders>
            <w:shd w:val="clear" w:color="auto" w:fill="auto"/>
            <w:vAlign w:val="center"/>
          </w:tcPr>
          <w:p>
            <w:pPr>
              <w:jc w:val="center"/>
              <w:rPr>
                <w:rFonts w:asciiTheme="minorEastAsia" w:hAnsiTheme="minorEastAsia" w:eastAsiaTheme="minorEastAsia"/>
                <w:color w:val="auto"/>
                <w:sz w:val="30"/>
                <w:szCs w:val="30"/>
              </w:rPr>
            </w:pPr>
          </w:p>
        </w:tc>
        <w:tc>
          <w:tcPr>
            <w:tcW w:w="810"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9</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color w:val="auto"/>
                <w:sz w:val="30"/>
                <w:szCs w:val="30"/>
              </w:rPr>
            </w:pPr>
            <w:r>
              <w:rPr>
                <w:rFonts w:hint="eastAsia" w:asciiTheme="minorEastAsia" w:hAnsiTheme="minorEastAsia" w:eastAsiaTheme="minorEastAsia"/>
                <w:color w:val="auto"/>
                <w:kern w:val="0"/>
                <w:sz w:val="30"/>
                <w:szCs w:val="30"/>
              </w:rPr>
              <w:t>东京大学</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color w:val="auto"/>
                <w:sz w:val="30"/>
                <w:szCs w:val="30"/>
              </w:rPr>
            </w:pPr>
            <w:r>
              <w:rPr>
                <w:rFonts w:hint="eastAsia" w:asciiTheme="minorEastAsia" w:hAnsiTheme="minorEastAsia" w:eastAsiaTheme="minorEastAsia"/>
                <w:color w:val="auto"/>
                <w:kern w:val="0"/>
                <w:sz w:val="30"/>
                <w:szCs w:val="30"/>
              </w:rPr>
              <w:t>日本</w:t>
            </w:r>
          </w:p>
        </w:tc>
      </w:tr>
      <w:tr>
        <w:tblPrEx>
          <w:tblLayout w:type="fixed"/>
          <w:tblCellMar>
            <w:top w:w="15" w:type="dxa"/>
            <w:left w:w="15" w:type="dxa"/>
            <w:bottom w:w="15" w:type="dxa"/>
            <w:right w:w="15" w:type="dxa"/>
          </w:tblCellMar>
        </w:tblPrEx>
        <w:trPr>
          <w:trHeight w:val="285" w:hRule="atLeast"/>
        </w:trPr>
        <w:tc>
          <w:tcPr>
            <w:tcW w:w="1618" w:type="dxa"/>
            <w:vMerge w:val="continue"/>
            <w:tcBorders>
              <w:left w:val="single" w:color="000000" w:sz="4" w:space="0"/>
              <w:right w:val="single" w:color="000000" w:sz="4" w:space="0"/>
            </w:tcBorders>
            <w:shd w:val="clear" w:color="auto" w:fill="auto"/>
            <w:vAlign w:val="center"/>
          </w:tcPr>
          <w:p>
            <w:pPr>
              <w:jc w:val="center"/>
              <w:rPr>
                <w:rFonts w:asciiTheme="minorEastAsia" w:hAnsiTheme="minorEastAsia" w:eastAsiaTheme="minorEastAsia"/>
                <w:color w:val="auto"/>
                <w:sz w:val="30"/>
                <w:szCs w:val="30"/>
              </w:rPr>
            </w:pPr>
          </w:p>
        </w:tc>
        <w:tc>
          <w:tcPr>
            <w:tcW w:w="810" w:type="dxa"/>
            <w:tcBorders>
              <w:top w:val="single" w:color="000000" w:sz="4" w:space="0"/>
              <w:left w:val="single" w:color="000000" w:sz="4" w:space="0"/>
              <w:bottom w:val="single" w:color="000000" w:sz="4" w:space="0"/>
              <w:right w:val="single" w:color="000000" w:sz="4" w:space="0"/>
            </w:tcBorders>
          </w:tcPr>
          <w:p>
            <w:pPr>
              <w:jc w:val="center"/>
              <w:textAlignment w:val="top"/>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10</w:t>
            </w:r>
          </w:p>
        </w:tc>
        <w:tc>
          <w:tcPr>
            <w:tcW w:w="3765" w:type="dxa"/>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asciiTheme="minorEastAsia" w:hAnsiTheme="minorEastAsia" w:eastAsiaTheme="minorEastAsia"/>
                <w:color w:val="auto"/>
                <w:sz w:val="30"/>
                <w:szCs w:val="30"/>
              </w:rPr>
            </w:pPr>
            <w:r>
              <w:rPr>
                <w:rFonts w:hint="eastAsia" w:asciiTheme="minorEastAsia" w:hAnsiTheme="minorEastAsia" w:eastAsiaTheme="minorEastAsia"/>
                <w:color w:val="auto"/>
                <w:kern w:val="0"/>
                <w:sz w:val="30"/>
                <w:szCs w:val="30"/>
              </w:rPr>
              <w:t>海德堡大学</w:t>
            </w:r>
          </w:p>
        </w:tc>
        <w:tc>
          <w:tcPr>
            <w:tcW w:w="2130" w:type="dxa"/>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asciiTheme="minorEastAsia" w:hAnsiTheme="minorEastAsia" w:eastAsiaTheme="minorEastAsia"/>
                <w:color w:val="auto"/>
                <w:sz w:val="30"/>
                <w:szCs w:val="30"/>
              </w:rPr>
            </w:pPr>
            <w:r>
              <w:rPr>
                <w:rFonts w:hint="eastAsia" w:asciiTheme="minorEastAsia" w:hAnsiTheme="minorEastAsia" w:eastAsiaTheme="minorEastAsia"/>
                <w:color w:val="auto"/>
                <w:kern w:val="0"/>
                <w:sz w:val="30"/>
                <w:szCs w:val="30"/>
              </w:rPr>
              <w:t>德国</w:t>
            </w:r>
          </w:p>
        </w:tc>
      </w:tr>
      <w:tr>
        <w:tblPrEx>
          <w:tblLayout w:type="fixed"/>
          <w:tblCellMar>
            <w:top w:w="15" w:type="dxa"/>
            <w:left w:w="15" w:type="dxa"/>
            <w:bottom w:w="15" w:type="dxa"/>
            <w:right w:w="15" w:type="dxa"/>
          </w:tblCellMar>
        </w:tblPrEx>
        <w:trPr>
          <w:trHeight w:val="285" w:hRule="atLeast"/>
        </w:trPr>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color w:val="auto"/>
                <w:sz w:val="30"/>
                <w:szCs w:val="30"/>
              </w:rPr>
            </w:pPr>
            <w:r>
              <w:rPr>
                <w:rFonts w:hint="eastAsia" w:asciiTheme="minorEastAsia" w:hAnsiTheme="minorEastAsia" w:eastAsiaTheme="minorEastAsia"/>
                <w:color w:val="auto"/>
                <w:kern w:val="0"/>
                <w:sz w:val="30"/>
                <w:szCs w:val="30"/>
              </w:rPr>
              <w:t>二类</w:t>
            </w:r>
          </w:p>
        </w:tc>
        <w:tc>
          <w:tcPr>
            <w:tcW w:w="810"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1</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color w:val="auto"/>
                <w:sz w:val="30"/>
                <w:szCs w:val="30"/>
              </w:rPr>
            </w:pPr>
            <w:r>
              <w:rPr>
                <w:rFonts w:hint="eastAsia" w:asciiTheme="minorEastAsia" w:hAnsiTheme="minorEastAsia" w:eastAsiaTheme="minorEastAsia"/>
                <w:color w:val="auto"/>
                <w:kern w:val="0"/>
                <w:sz w:val="30"/>
                <w:szCs w:val="30"/>
              </w:rPr>
              <w:t>加州伯克利分校</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color w:val="auto"/>
                <w:sz w:val="30"/>
                <w:szCs w:val="30"/>
              </w:rPr>
            </w:pPr>
            <w:r>
              <w:rPr>
                <w:rFonts w:hint="eastAsia" w:asciiTheme="minorEastAsia" w:hAnsiTheme="minorEastAsia" w:eastAsiaTheme="minorEastAsia"/>
                <w:color w:val="auto"/>
                <w:kern w:val="0"/>
                <w:sz w:val="30"/>
                <w:szCs w:val="30"/>
              </w:rPr>
              <w:t>美国</w:t>
            </w:r>
          </w:p>
        </w:tc>
      </w:tr>
      <w:tr>
        <w:tblPrEx>
          <w:tblLayout w:type="fixed"/>
          <w:tblCellMar>
            <w:top w:w="15" w:type="dxa"/>
            <w:left w:w="15" w:type="dxa"/>
            <w:bottom w:w="15" w:type="dxa"/>
            <w:right w:w="15" w:type="dxa"/>
          </w:tblCellMar>
        </w:tblPrEx>
        <w:trPr>
          <w:trHeight w:val="285" w:hRule="atLeast"/>
        </w:trPr>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auto"/>
                <w:sz w:val="30"/>
                <w:szCs w:val="30"/>
              </w:rPr>
            </w:pPr>
          </w:p>
        </w:tc>
        <w:tc>
          <w:tcPr>
            <w:tcW w:w="810" w:type="dxa"/>
            <w:tcBorders>
              <w:top w:val="single" w:color="000000" w:sz="4" w:space="0"/>
              <w:left w:val="single" w:color="000000" w:sz="4" w:space="0"/>
              <w:bottom w:val="single" w:color="000000" w:sz="4" w:space="0"/>
              <w:right w:val="single" w:color="000000" w:sz="4" w:space="0"/>
            </w:tcBorders>
          </w:tcPr>
          <w:p>
            <w:pPr>
              <w:jc w:val="center"/>
              <w:textAlignment w:val="top"/>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2</w:t>
            </w:r>
          </w:p>
        </w:tc>
        <w:tc>
          <w:tcPr>
            <w:tcW w:w="3765" w:type="dxa"/>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asciiTheme="minorEastAsia" w:hAnsiTheme="minorEastAsia" w:eastAsiaTheme="minorEastAsia"/>
                <w:color w:val="auto"/>
                <w:sz w:val="30"/>
                <w:szCs w:val="30"/>
              </w:rPr>
            </w:pPr>
            <w:r>
              <w:rPr>
                <w:rFonts w:hint="eastAsia" w:asciiTheme="minorEastAsia" w:hAnsiTheme="minorEastAsia" w:eastAsiaTheme="minorEastAsia"/>
                <w:color w:val="auto"/>
                <w:kern w:val="0"/>
                <w:sz w:val="30"/>
                <w:szCs w:val="30"/>
              </w:rPr>
              <w:t>哥伦比亚大学</w:t>
            </w:r>
          </w:p>
        </w:tc>
        <w:tc>
          <w:tcPr>
            <w:tcW w:w="2130" w:type="dxa"/>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asciiTheme="minorEastAsia" w:hAnsiTheme="minorEastAsia" w:eastAsiaTheme="minorEastAsia"/>
                <w:color w:val="auto"/>
                <w:sz w:val="30"/>
                <w:szCs w:val="30"/>
              </w:rPr>
            </w:pPr>
            <w:r>
              <w:rPr>
                <w:rFonts w:hint="eastAsia" w:asciiTheme="minorEastAsia" w:hAnsiTheme="minorEastAsia" w:eastAsiaTheme="minorEastAsia"/>
                <w:color w:val="auto"/>
                <w:kern w:val="0"/>
                <w:sz w:val="30"/>
                <w:szCs w:val="30"/>
              </w:rPr>
              <w:t>美国</w:t>
            </w:r>
          </w:p>
        </w:tc>
      </w:tr>
      <w:tr>
        <w:tblPrEx>
          <w:tblLayout w:type="fixed"/>
          <w:tblCellMar>
            <w:top w:w="15" w:type="dxa"/>
            <w:left w:w="15" w:type="dxa"/>
            <w:bottom w:w="15" w:type="dxa"/>
            <w:right w:w="15" w:type="dxa"/>
          </w:tblCellMar>
        </w:tblPrEx>
        <w:trPr>
          <w:trHeight w:val="285" w:hRule="atLeast"/>
        </w:trPr>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auto"/>
                <w:sz w:val="30"/>
                <w:szCs w:val="30"/>
              </w:rPr>
            </w:pPr>
          </w:p>
        </w:tc>
        <w:tc>
          <w:tcPr>
            <w:tcW w:w="810"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3</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color w:val="auto"/>
                <w:sz w:val="30"/>
                <w:szCs w:val="30"/>
              </w:rPr>
            </w:pPr>
            <w:r>
              <w:rPr>
                <w:rFonts w:hint="eastAsia" w:asciiTheme="minorEastAsia" w:hAnsiTheme="minorEastAsia" w:eastAsiaTheme="minorEastAsia"/>
                <w:color w:val="auto"/>
                <w:kern w:val="0"/>
                <w:sz w:val="30"/>
                <w:szCs w:val="30"/>
              </w:rPr>
              <w:t>芝加哥大学</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color w:val="auto"/>
                <w:sz w:val="30"/>
                <w:szCs w:val="30"/>
              </w:rPr>
            </w:pPr>
            <w:r>
              <w:rPr>
                <w:rFonts w:hint="eastAsia" w:asciiTheme="minorEastAsia" w:hAnsiTheme="minorEastAsia" w:eastAsiaTheme="minorEastAsia"/>
                <w:color w:val="auto"/>
                <w:kern w:val="0"/>
                <w:sz w:val="30"/>
                <w:szCs w:val="30"/>
              </w:rPr>
              <w:t>美国</w:t>
            </w:r>
          </w:p>
        </w:tc>
      </w:tr>
      <w:tr>
        <w:tblPrEx>
          <w:tblLayout w:type="fixed"/>
          <w:tblCellMar>
            <w:top w:w="15" w:type="dxa"/>
            <w:left w:w="15" w:type="dxa"/>
            <w:bottom w:w="15" w:type="dxa"/>
            <w:right w:w="15" w:type="dxa"/>
          </w:tblCellMar>
        </w:tblPrEx>
        <w:trPr>
          <w:trHeight w:val="285" w:hRule="atLeast"/>
        </w:trPr>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auto"/>
                <w:sz w:val="30"/>
                <w:szCs w:val="30"/>
              </w:rPr>
            </w:pPr>
          </w:p>
        </w:tc>
        <w:tc>
          <w:tcPr>
            <w:tcW w:w="810"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4</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color w:val="auto"/>
                <w:sz w:val="30"/>
                <w:szCs w:val="30"/>
              </w:rPr>
            </w:pPr>
            <w:r>
              <w:rPr>
                <w:rFonts w:hint="eastAsia" w:asciiTheme="minorEastAsia" w:hAnsiTheme="minorEastAsia" w:eastAsiaTheme="minorEastAsia"/>
                <w:color w:val="auto"/>
                <w:sz w:val="30"/>
                <w:szCs w:val="30"/>
              </w:rPr>
              <w:t>伦敦大学学院</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color w:val="auto"/>
                <w:sz w:val="30"/>
                <w:szCs w:val="30"/>
              </w:rPr>
            </w:pPr>
            <w:r>
              <w:rPr>
                <w:rFonts w:hint="eastAsia" w:asciiTheme="minorEastAsia" w:hAnsiTheme="minorEastAsia" w:eastAsiaTheme="minorEastAsia"/>
                <w:color w:val="auto"/>
                <w:kern w:val="0"/>
                <w:sz w:val="30"/>
                <w:szCs w:val="30"/>
              </w:rPr>
              <w:t>英国</w:t>
            </w:r>
          </w:p>
        </w:tc>
      </w:tr>
      <w:tr>
        <w:tblPrEx>
          <w:tblLayout w:type="fixed"/>
          <w:tblCellMar>
            <w:top w:w="15" w:type="dxa"/>
            <w:left w:w="15" w:type="dxa"/>
            <w:bottom w:w="15" w:type="dxa"/>
            <w:right w:w="15" w:type="dxa"/>
          </w:tblCellMar>
        </w:tblPrEx>
        <w:trPr>
          <w:trHeight w:val="285" w:hRule="atLeast"/>
        </w:trPr>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auto"/>
                <w:sz w:val="30"/>
                <w:szCs w:val="30"/>
              </w:rPr>
            </w:pPr>
          </w:p>
        </w:tc>
        <w:tc>
          <w:tcPr>
            <w:tcW w:w="810"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5</w:t>
            </w:r>
          </w:p>
        </w:tc>
        <w:tc>
          <w:tcPr>
            <w:tcW w:w="3765" w:type="dxa"/>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asciiTheme="minorEastAsia" w:hAnsiTheme="minorEastAsia" w:eastAsiaTheme="minorEastAsia"/>
                <w:color w:val="auto"/>
                <w:sz w:val="30"/>
                <w:szCs w:val="30"/>
              </w:rPr>
            </w:pPr>
            <w:r>
              <w:rPr>
                <w:rFonts w:hint="eastAsia" w:asciiTheme="minorEastAsia" w:hAnsiTheme="minorEastAsia" w:eastAsiaTheme="minorEastAsia"/>
                <w:color w:val="auto"/>
                <w:kern w:val="0"/>
                <w:sz w:val="30"/>
                <w:szCs w:val="30"/>
              </w:rPr>
              <w:t>悉尼大学</w:t>
            </w:r>
          </w:p>
        </w:tc>
        <w:tc>
          <w:tcPr>
            <w:tcW w:w="2130" w:type="dxa"/>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asciiTheme="minorEastAsia" w:hAnsiTheme="minorEastAsia" w:eastAsiaTheme="minorEastAsia"/>
                <w:color w:val="auto"/>
                <w:sz w:val="30"/>
                <w:szCs w:val="30"/>
              </w:rPr>
            </w:pPr>
            <w:r>
              <w:rPr>
                <w:rFonts w:hint="eastAsia" w:asciiTheme="minorEastAsia" w:hAnsiTheme="minorEastAsia" w:eastAsiaTheme="minorEastAsia"/>
                <w:color w:val="auto"/>
                <w:kern w:val="0"/>
                <w:sz w:val="30"/>
                <w:szCs w:val="30"/>
              </w:rPr>
              <w:t>澳大利亚</w:t>
            </w:r>
          </w:p>
        </w:tc>
      </w:tr>
      <w:tr>
        <w:tblPrEx>
          <w:tblLayout w:type="fixed"/>
          <w:tblCellMar>
            <w:top w:w="15" w:type="dxa"/>
            <w:left w:w="15" w:type="dxa"/>
            <w:bottom w:w="15" w:type="dxa"/>
            <w:right w:w="15" w:type="dxa"/>
          </w:tblCellMar>
        </w:tblPrEx>
        <w:trPr>
          <w:trHeight w:val="285" w:hRule="atLeast"/>
        </w:trPr>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auto"/>
                <w:sz w:val="30"/>
                <w:szCs w:val="30"/>
              </w:rPr>
            </w:pPr>
          </w:p>
        </w:tc>
        <w:tc>
          <w:tcPr>
            <w:tcW w:w="810"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6</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color w:val="auto"/>
                <w:sz w:val="30"/>
                <w:szCs w:val="30"/>
              </w:rPr>
            </w:pPr>
            <w:r>
              <w:rPr>
                <w:rFonts w:hint="eastAsia" w:asciiTheme="minorEastAsia" w:hAnsiTheme="minorEastAsia" w:eastAsiaTheme="minorEastAsia"/>
                <w:color w:val="auto"/>
                <w:kern w:val="0"/>
                <w:sz w:val="30"/>
                <w:szCs w:val="30"/>
              </w:rPr>
              <w:t>新加坡国立大学</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color w:val="auto"/>
                <w:sz w:val="30"/>
                <w:szCs w:val="30"/>
              </w:rPr>
            </w:pPr>
            <w:r>
              <w:rPr>
                <w:rFonts w:hint="eastAsia" w:asciiTheme="minorEastAsia" w:hAnsiTheme="minorEastAsia" w:eastAsiaTheme="minorEastAsia"/>
                <w:color w:val="auto"/>
                <w:kern w:val="0"/>
                <w:sz w:val="30"/>
                <w:szCs w:val="30"/>
              </w:rPr>
              <w:t>新加坡</w:t>
            </w:r>
          </w:p>
        </w:tc>
      </w:tr>
      <w:tr>
        <w:tblPrEx>
          <w:tblLayout w:type="fixed"/>
          <w:tblCellMar>
            <w:top w:w="15" w:type="dxa"/>
            <w:left w:w="15" w:type="dxa"/>
            <w:bottom w:w="15" w:type="dxa"/>
            <w:right w:w="15" w:type="dxa"/>
          </w:tblCellMar>
        </w:tblPrEx>
        <w:trPr>
          <w:trHeight w:val="285" w:hRule="atLeast"/>
        </w:trPr>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auto"/>
                <w:sz w:val="30"/>
                <w:szCs w:val="30"/>
              </w:rPr>
            </w:pPr>
          </w:p>
        </w:tc>
        <w:tc>
          <w:tcPr>
            <w:tcW w:w="810" w:type="dxa"/>
            <w:tcBorders>
              <w:top w:val="single" w:color="000000" w:sz="4" w:space="0"/>
              <w:left w:val="single" w:color="000000" w:sz="4" w:space="0"/>
              <w:bottom w:val="single" w:color="000000" w:sz="4" w:space="0"/>
              <w:right w:val="single" w:color="000000" w:sz="4" w:space="0"/>
            </w:tcBorders>
          </w:tcPr>
          <w:p>
            <w:pPr>
              <w:jc w:val="center"/>
              <w:textAlignment w:val="top"/>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7</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color w:val="auto"/>
                <w:sz w:val="30"/>
                <w:szCs w:val="30"/>
              </w:rPr>
            </w:pPr>
            <w:r>
              <w:rPr>
                <w:rFonts w:hint="eastAsia" w:asciiTheme="minorEastAsia" w:hAnsiTheme="minorEastAsia" w:eastAsiaTheme="minorEastAsia"/>
                <w:color w:val="auto"/>
                <w:kern w:val="0"/>
                <w:sz w:val="30"/>
                <w:szCs w:val="30"/>
                <w:lang w:eastAsia="zh-CN"/>
              </w:rPr>
              <w:t>蒙特利尔</w:t>
            </w:r>
            <w:r>
              <w:rPr>
                <w:rFonts w:hint="eastAsia" w:asciiTheme="minorEastAsia" w:hAnsiTheme="minorEastAsia" w:eastAsiaTheme="minorEastAsia"/>
                <w:color w:val="auto"/>
                <w:kern w:val="0"/>
                <w:sz w:val="30"/>
                <w:szCs w:val="30"/>
              </w:rPr>
              <w:t>大学</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color w:val="auto"/>
                <w:sz w:val="30"/>
                <w:szCs w:val="30"/>
              </w:rPr>
            </w:pPr>
            <w:r>
              <w:rPr>
                <w:rFonts w:hint="eastAsia" w:asciiTheme="minorEastAsia" w:hAnsiTheme="minorEastAsia" w:eastAsiaTheme="minorEastAsia"/>
                <w:color w:val="auto"/>
                <w:kern w:val="0"/>
                <w:sz w:val="30"/>
                <w:szCs w:val="30"/>
              </w:rPr>
              <w:t>加拿大</w:t>
            </w:r>
          </w:p>
        </w:tc>
      </w:tr>
      <w:tr>
        <w:tblPrEx>
          <w:tblLayout w:type="fixed"/>
          <w:tblCellMar>
            <w:top w:w="15" w:type="dxa"/>
            <w:left w:w="15" w:type="dxa"/>
            <w:bottom w:w="15" w:type="dxa"/>
            <w:right w:w="15" w:type="dxa"/>
          </w:tblCellMar>
        </w:tblPrEx>
        <w:trPr>
          <w:trHeight w:val="285" w:hRule="atLeast"/>
        </w:trPr>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auto"/>
                <w:sz w:val="30"/>
                <w:szCs w:val="30"/>
              </w:rPr>
            </w:pPr>
          </w:p>
        </w:tc>
        <w:tc>
          <w:tcPr>
            <w:tcW w:w="810"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8</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color w:val="auto"/>
                <w:sz w:val="30"/>
                <w:szCs w:val="30"/>
              </w:rPr>
            </w:pPr>
            <w:r>
              <w:rPr>
                <w:rFonts w:hint="eastAsia" w:asciiTheme="minorEastAsia" w:hAnsiTheme="minorEastAsia" w:eastAsiaTheme="minorEastAsia"/>
                <w:color w:val="auto"/>
                <w:sz w:val="30"/>
                <w:szCs w:val="30"/>
              </w:rPr>
              <w:t>伦敦国王学院</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color w:val="auto"/>
                <w:sz w:val="30"/>
                <w:szCs w:val="30"/>
              </w:rPr>
            </w:pPr>
            <w:r>
              <w:rPr>
                <w:rFonts w:hint="eastAsia" w:asciiTheme="minorEastAsia" w:hAnsiTheme="minorEastAsia" w:eastAsiaTheme="minorEastAsia"/>
                <w:color w:val="auto"/>
                <w:sz w:val="30"/>
                <w:szCs w:val="30"/>
              </w:rPr>
              <w:t>英国</w:t>
            </w:r>
          </w:p>
        </w:tc>
      </w:tr>
      <w:tr>
        <w:tblPrEx>
          <w:tblLayout w:type="fixed"/>
          <w:tblCellMar>
            <w:top w:w="15" w:type="dxa"/>
            <w:left w:w="15" w:type="dxa"/>
            <w:bottom w:w="15" w:type="dxa"/>
            <w:right w:w="15" w:type="dxa"/>
          </w:tblCellMar>
        </w:tblPrEx>
        <w:trPr>
          <w:trHeight w:val="285" w:hRule="atLeast"/>
        </w:trPr>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auto"/>
                <w:sz w:val="30"/>
                <w:szCs w:val="30"/>
              </w:rPr>
            </w:pPr>
          </w:p>
        </w:tc>
        <w:tc>
          <w:tcPr>
            <w:tcW w:w="810"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9</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color w:val="auto"/>
                <w:sz w:val="30"/>
                <w:szCs w:val="30"/>
              </w:rPr>
            </w:pPr>
            <w:r>
              <w:rPr>
                <w:rFonts w:hint="eastAsia" w:asciiTheme="minorEastAsia" w:hAnsiTheme="minorEastAsia" w:eastAsiaTheme="minorEastAsia"/>
                <w:color w:val="auto"/>
                <w:sz w:val="30"/>
                <w:szCs w:val="30"/>
              </w:rPr>
              <w:t>乔治城大学</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color w:val="auto"/>
                <w:sz w:val="30"/>
                <w:szCs w:val="30"/>
              </w:rPr>
            </w:pPr>
            <w:r>
              <w:rPr>
                <w:rFonts w:hint="eastAsia" w:asciiTheme="minorEastAsia" w:hAnsiTheme="minorEastAsia" w:eastAsiaTheme="minorEastAsia"/>
                <w:color w:val="auto"/>
                <w:sz w:val="30"/>
                <w:szCs w:val="30"/>
              </w:rPr>
              <w:t>美国</w:t>
            </w:r>
          </w:p>
        </w:tc>
      </w:tr>
      <w:tr>
        <w:tblPrEx>
          <w:tblLayout w:type="fixed"/>
          <w:tblCellMar>
            <w:top w:w="15" w:type="dxa"/>
            <w:left w:w="15" w:type="dxa"/>
            <w:bottom w:w="15" w:type="dxa"/>
            <w:right w:w="15" w:type="dxa"/>
          </w:tblCellMar>
        </w:tblPrEx>
        <w:trPr>
          <w:trHeight w:val="285" w:hRule="atLeast"/>
        </w:trPr>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auto"/>
                <w:sz w:val="30"/>
                <w:szCs w:val="30"/>
              </w:rPr>
            </w:pPr>
          </w:p>
        </w:tc>
        <w:tc>
          <w:tcPr>
            <w:tcW w:w="810"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10</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color w:val="auto"/>
                <w:sz w:val="30"/>
                <w:szCs w:val="30"/>
              </w:rPr>
            </w:pPr>
            <w:r>
              <w:rPr>
                <w:rFonts w:hint="eastAsia" w:asciiTheme="minorEastAsia" w:hAnsiTheme="minorEastAsia" w:eastAsiaTheme="minorEastAsia"/>
                <w:color w:val="auto"/>
                <w:sz w:val="30"/>
                <w:szCs w:val="30"/>
              </w:rPr>
              <w:t>爱丁堡大学</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color w:val="auto"/>
                <w:sz w:val="30"/>
                <w:szCs w:val="30"/>
              </w:rPr>
            </w:pPr>
            <w:r>
              <w:rPr>
                <w:rFonts w:hint="eastAsia" w:asciiTheme="minorEastAsia" w:hAnsiTheme="minorEastAsia" w:eastAsiaTheme="minorEastAsia"/>
                <w:color w:val="auto"/>
                <w:kern w:val="0"/>
                <w:sz w:val="30"/>
                <w:szCs w:val="30"/>
              </w:rPr>
              <w:t>英国</w:t>
            </w:r>
          </w:p>
        </w:tc>
      </w:tr>
      <w:tr>
        <w:tblPrEx>
          <w:tblLayout w:type="fixed"/>
          <w:tblCellMar>
            <w:top w:w="15" w:type="dxa"/>
            <w:left w:w="15" w:type="dxa"/>
            <w:bottom w:w="15" w:type="dxa"/>
            <w:right w:w="15" w:type="dxa"/>
          </w:tblCellMar>
        </w:tblPrEx>
        <w:trPr>
          <w:trHeight w:val="285" w:hRule="atLeast"/>
        </w:trPr>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auto"/>
                <w:sz w:val="30"/>
                <w:szCs w:val="30"/>
              </w:rPr>
            </w:pPr>
          </w:p>
        </w:tc>
        <w:tc>
          <w:tcPr>
            <w:tcW w:w="810"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11</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巴黎第一大学</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法国</w:t>
            </w:r>
          </w:p>
        </w:tc>
      </w:tr>
      <w:tr>
        <w:tblPrEx>
          <w:tblLayout w:type="fixed"/>
          <w:tblCellMar>
            <w:top w:w="15" w:type="dxa"/>
            <w:left w:w="15" w:type="dxa"/>
            <w:bottom w:w="15" w:type="dxa"/>
            <w:right w:w="15" w:type="dxa"/>
          </w:tblCellMar>
        </w:tblPrEx>
        <w:trPr>
          <w:trHeight w:val="285" w:hRule="atLeast"/>
        </w:trPr>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auto"/>
                <w:sz w:val="30"/>
                <w:szCs w:val="30"/>
              </w:rPr>
            </w:pPr>
          </w:p>
        </w:tc>
        <w:tc>
          <w:tcPr>
            <w:tcW w:w="810"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12</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color w:val="auto"/>
                <w:sz w:val="30"/>
                <w:szCs w:val="30"/>
              </w:rPr>
            </w:pPr>
            <w:r>
              <w:rPr>
                <w:rFonts w:hint="eastAsia" w:asciiTheme="minorEastAsia" w:hAnsiTheme="minorEastAsia" w:eastAsiaTheme="minorEastAsia"/>
                <w:color w:val="auto"/>
                <w:kern w:val="0"/>
                <w:sz w:val="30"/>
                <w:szCs w:val="30"/>
              </w:rPr>
              <w:t>莫纳什大学</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color w:val="auto"/>
                <w:sz w:val="30"/>
                <w:szCs w:val="30"/>
              </w:rPr>
            </w:pPr>
            <w:r>
              <w:rPr>
                <w:rFonts w:hint="eastAsia" w:asciiTheme="minorEastAsia" w:hAnsiTheme="minorEastAsia" w:eastAsiaTheme="minorEastAsia"/>
                <w:color w:val="auto"/>
                <w:kern w:val="0"/>
                <w:sz w:val="30"/>
                <w:szCs w:val="30"/>
              </w:rPr>
              <w:t>澳大利亚</w:t>
            </w:r>
          </w:p>
        </w:tc>
      </w:tr>
      <w:tr>
        <w:tblPrEx>
          <w:tblLayout w:type="fixed"/>
          <w:tblCellMar>
            <w:top w:w="15" w:type="dxa"/>
            <w:left w:w="15" w:type="dxa"/>
            <w:bottom w:w="15" w:type="dxa"/>
            <w:right w:w="15" w:type="dxa"/>
          </w:tblCellMar>
        </w:tblPrEx>
        <w:trPr>
          <w:trHeight w:val="285" w:hRule="atLeast"/>
        </w:trPr>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auto"/>
                <w:sz w:val="30"/>
                <w:szCs w:val="30"/>
              </w:rPr>
            </w:pPr>
          </w:p>
        </w:tc>
        <w:tc>
          <w:tcPr>
            <w:tcW w:w="810"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13</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color w:val="auto"/>
                <w:sz w:val="30"/>
                <w:szCs w:val="30"/>
              </w:rPr>
            </w:pPr>
            <w:r>
              <w:rPr>
                <w:rFonts w:hint="eastAsia" w:asciiTheme="minorEastAsia" w:hAnsiTheme="minorEastAsia" w:eastAsiaTheme="minorEastAsia"/>
                <w:color w:val="auto"/>
                <w:kern w:val="0"/>
                <w:sz w:val="30"/>
                <w:szCs w:val="30"/>
              </w:rPr>
              <w:t>莱顿大学</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color w:val="auto"/>
                <w:sz w:val="30"/>
                <w:szCs w:val="30"/>
              </w:rPr>
            </w:pPr>
            <w:r>
              <w:rPr>
                <w:rFonts w:hint="eastAsia" w:asciiTheme="minorEastAsia" w:hAnsiTheme="minorEastAsia" w:eastAsiaTheme="minorEastAsia"/>
                <w:color w:val="auto"/>
                <w:kern w:val="0"/>
                <w:sz w:val="30"/>
                <w:szCs w:val="30"/>
              </w:rPr>
              <w:t>荷兰</w:t>
            </w:r>
          </w:p>
        </w:tc>
      </w:tr>
      <w:tr>
        <w:tblPrEx>
          <w:tblLayout w:type="fixed"/>
          <w:tblCellMar>
            <w:top w:w="15" w:type="dxa"/>
            <w:left w:w="15" w:type="dxa"/>
            <w:bottom w:w="15" w:type="dxa"/>
            <w:right w:w="15" w:type="dxa"/>
          </w:tblCellMar>
        </w:tblPrEx>
        <w:trPr>
          <w:trHeight w:val="285" w:hRule="atLeast"/>
        </w:trPr>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auto"/>
                <w:sz w:val="30"/>
                <w:szCs w:val="30"/>
              </w:rPr>
            </w:pPr>
          </w:p>
        </w:tc>
        <w:tc>
          <w:tcPr>
            <w:tcW w:w="810"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14</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heme="minorEastAsia" w:hAnsiTheme="minorEastAsia" w:eastAsiaTheme="minorEastAsia"/>
                <w:color w:val="auto"/>
                <w:sz w:val="30"/>
                <w:szCs w:val="30"/>
                <w:lang w:eastAsia="zh-CN"/>
              </w:rPr>
            </w:pPr>
            <w:r>
              <w:rPr>
                <w:rFonts w:hint="eastAsia" w:asciiTheme="minorEastAsia" w:hAnsiTheme="minorEastAsia" w:eastAsiaTheme="minorEastAsia"/>
                <w:color w:val="auto"/>
                <w:sz w:val="30"/>
                <w:szCs w:val="30"/>
                <w:lang w:eastAsia="zh-CN"/>
              </w:rPr>
              <w:t>华盛顿大学圣路易斯分校</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美国</w:t>
            </w:r>
          </w:p>
        </w:tc>
      </w:tr>
      <w:tr>
        <w:tblPrEx>
          <w:tblLayout w:type="fixed"/>
          <w:tblCellMar>
            <w:top w:w="15" w:type="dxa"/>
            <w:left w:w="15" w:type="dxa"/>
            <w:bottom w:w="15" w:type="dxa"/>
            <w:right w:w="15" w:type="dxa"/>
          </w:tblCellMar>
        </w:tblPrEx>
        <w:trPr>
          <w:trHeight w:val="285" w:hRule="atLeast"/>
        </w:trPr>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auto"/>
                <w:sz w:val="30"/>
                <w:szCs w:val="30"/>
              </w:rPr>
            </w:pPr>
          </w:p>
        </w:tc>
        <w:tc>
          <w:tcPr>
            <w:tcW w:w="810"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15</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慕尼黑大学</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德国</w:t>
            </w:r>
          </w:p>
        </w:tc>
      </w:tr>
      <w:tr>
        <w:tblPrEx>
          <w:tblLayout w:type="fixed"/>
          <w:tblCellMar>
            <w:top w:w="15" w:type="dxa"/>
            <w:left w:w="15" w:type="dxa"/>
            <w:bottom w:w="15" w:type="dxa"/>
            <w:right w:w="15" w:type="dxa"/>
          </w:tblCellMar>
        </w:tblPrEx>
        <w:trPr>
          <w:trHeight w:val="285" w:hRule="atLeast"/>
        </w:trPr>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auto"/>
                <w:sz w:val="30"/>
                <w:szCs w:val="30"/>
              </w:rPr>
            </w:pPr>
          </w:p>
        </w:tc>
        <w:tc>
          <w:tcPr>
            <w:tcW w:w="810"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16</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科隆大学</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德国</w:t>
            </w:r>
          </w:p>
        </w:tc>
      </w:tr>
      <w:tr>
        <w:tblPrEx>
          <w:tblLayout w:type="fixed"/>
          <w:tblCellMar>
            <w:top w:w="15" w:type="dxa"/>
            <w:left w:w="15" w:type="dxa"/>
            <w:bottom w:w="15" w:type="dxa"/>
            <w:right w:w="15" w:type="dxa"/>
          </w:tblCellMar>
        </w:tblPrEx>
        <w:trPr>
          <w:trHeight w:val="285" w:hRule="atLeast"/>
        </w:trPr>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auto"/>
                <w:sz w:val="30"/>
                <w:szCs w:val="30"/>
              </w:rPr>
            </w:pPr>
          </w:p>
        </w:tc>
        <w:tc>
          <w:tcPr>
            <w:tcW w:w="810"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17</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埃默里大学</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美国</w:t>
            </w:r>
          </w:p>
        </w:tc>
      </w:tr>
      <w:tr>
        <w:tblPrEx>
          <w:tblLayout w:type="fixed"/>
          <w:tblCellMar>
            <w:top w:w="15" w:type="dxa"/>
            <w:left w:w="15" w:type="dxa"/>
            <w:bottom w:w="15" w:type="dxa"/>
            <w:right w:w="15" w:type="dxa"/>
          </w:tblCellMar>
        </w:tblPrEx>
        <w:trPr>
          <w:trHeight w:val="285" w:hRule="atLeast"/>
        </w:trPr>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auto"/>
                <w:sz w:val="30"/>
                <w:szCs w:val="30"/>
              </w:rPr>
            </w:pPr>
          </w:p>
        </w:tc>
        <w:tc>
          <w:tcPr>
            <w:tcW w:w="810"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18</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罗马第一大学</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color w:val="auto"/>
                <w:sz w:val="30"/>
                <w:szCs w:val="30"/>
              </w:rPr>
            </w:pPr>
            <w:r>
              <w:rPr>
                <w:rFonts w:hint="eastAsia" w:asciiTheme="minorEastAsia" w:hAnsiTheme="minorEastAsia" w:eastAsiaTheme="minorEastAsia"/>
                <w:color w:val="auto"/>
                <w:sz w:val="30"/>
                <w:szCs w:val="30"/>
              </w:rPr>
              <w:t>意大利</w:t>
            </w:r>
          </w:p>
        </w:tc>
      </w:tr>
      <w:tr>
        <w:tblPrEx>
          <w:tblLayout w:type="fixed"/>
          <w:tblCellMar>
            <w:top w:w="15" w:type="dxa"/>
            <w:left w:w="15" w:type="dxa"/>
            <w:bottom w:w="15" w:type="dxa"/>
            <w:right w:w="15" w:type="dxa"/>
          </w:tblCellMar>
        </w:tblPrEx>
        <w:trPr>
          <w:trHeight w:val="285" w:hRule="atLeast"/>
        </w:trPr>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auto"/>
                <w:sz w:val="30"/>
                <w:szCs w:val="30"/>
              </w:rPr>
            </w:pPr>
          </w:p>
        </w:tc>
        <w:tc>
          <w:tcPr>
            <w:tcW w:w="810"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19</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特伦托大学</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意大利</w:t>
            </w:r>
          </w:p>
        </w:tc>
      </w:tr>
      <w:tr>
        <w:tblPrEx>
          <w:tblLayout w:type="fixed"/>
          <w:tblCellMar>
            <w:top w:w="15" w:type="dxa"/>
            <w:left w:w="15" w:type="dxa"/>
            <w:bottom w:w="15" w:type="dxa"/>
            <w:right w:w="15" w:type="dxa"/>
          </w:tblCellMar>
        </w:tblPrEx>
        <w:trPr>
          <w:trHeight w:val="285" w:hRule="atLeast"/>
        </w:trPr>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auto"/>
                <w:sz w:val="30"/>
                <w:szCs w:val="30"/>
              </w:rPr>
            </w:pPr>
          </w:p>
        </w:tc>
        <w:tc>
          <w:tcPr>
            <w:tcW w:w="810"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20</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宾夕法尼亚州立大学</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color w:val="auto"/>
                <w:kern w:val="0"/>
                <w:sz w:val="30"/>
                <w:szCs w:val="30"/>
              </w:rPr>
            </w:pPr>
            <w:r>
              <w:rPr>
                <w:rFonts w:hint="eastAsia" w:asciiTheme="minorEastAsia" w:hAnsiTheme="minorEastAsia" w:eastAsiaTheme="minorEastAsia"/>
                <w:color w:val="auto"/>
                <w:kern w:val="0"/>
                <w:sz w:val="30"/>
                <w:szCs w:val="30"/>
              </w:rPr>
              <w:t>美国</w:t>
            </w:r>
          </w:p>
        </w:tc>
      </w:tr>
    </w:tbl>
    <w:p>
      <w:pPr>
        <w:rPr>
          <w:rFonts w:asciiTheme="minorEastAsia" w:hAnsiTheme="minorEastAsia" w:eastAsiaTheme="minorEastAsia"/>
          <w:color w:val="auto"/>
          <w:sz w:val="30"/>
          <w:szCs w:val="30"/>
        </w:rPr>
      </w:pPr>
    </w:p>
    <w:p/>
    <w:p>
      <w:pPr>
        <w:ind w:firstLine="480"/>
        <w:rPr>
          <w:rFonts w:hint="eastAsia" w:ascii="仿宋" w:hAnsi="仿宋" w:eastAsia="仿宋" w:cs="仿宋"/>
          <w:color w:val="auto"/>
          <w:sz w:val="28"/>
          <w:szCs w:val="28"/>
          <w:highlight w:val="no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Light">
    <w:altName w:val="黑体"/>
    <w:panose1 w:val="020B0502040204020203"/>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78484C"/>
    <w:multiLevelType w:val="singleLevel"/>
    <w:tmpl w:val="A378484C"/>
    <w:lvl w:ilvl="0" w:tentative="0">
      <w:start w:val="1"/>
      <w:numFmt w:val="chineseCounting"/>
      <w:suff w:val="space"/>
      <w:lvlText w:val="第%1条"/>
      <w:lvlJc w:val="left"/>
      <w:rPr>
        <w:rFonts w:hint="eastAsia"/>
      </w:rPr>
    </w:lvl>
  </w:abstractNum>
  <w:abstractNum w:abstractNumId="1">
    <w:nsid w:val="ABCF2E2A"/>
    <w:multiLevelType w:val="singleLevel"/>
    <w:tmpl w:val="ABCF2E2A"/>
    <w:lvl w:ilvl="0" w:tentative="0">
      <w:start w:val="1"/>
      <w:numFmt w:val="decimal"/>
      <w:suff w:val="nothing"/>
      <w:lvlText w:val="%1、"/>
      <w:lvlJc w:val="left"/>
    </w:lvl>
  </w:abstractNum>
  <w:abstractNum w:abstractNumId="2">
    <w:nsid w:val="AD727EE9"/>
    <w:multiLevelType w:val="singleLevel"/>
    <w:tmpl w:val="AD727EE9"/>
    <w:lvl w:ilvl="0" w:tentative="0">
      <w:start w:val="1"/>
      <w:numFmt w:val="decimal"/>
      <w:suff w:val="nothing"/>
      <w:lvlText w:val="%1、"/>
      <w:lvlJc w:val="left"/>
    </w:lvl>
  </w:abstractNum>
  <w:abstractNum w:abstractNumId="3">
    <w:nsid w:val="DB17EA5F"/>
    <w:multiLevelType w:val="singleLevel"/>
    <w:tmpl w:val="DB17EA5F"/>
    <w:lvl w:ilvl="0" w:tentative="0">
      <w:start w:val="1"/>
      <w:numFmt w:val="decimal"/>
      <w:suff w:val="nothing"/>
      <w:lvlText w:val="%1、"/>
      <w:lvlJc w:val="left"/>
    </w:lvl>
  </w:abstractNum>
  <w:abstractNum w:abstractNumId="4">
    <w:nsid w:val="1DC4059C"/>
    <w:multiLevelType w:val="singleLevel"/>
    <w:tmpl w:val="1DC4059C"/>
    <w:lvl w:ilvl="0" w:tentative="0">
      <w:start w:val="1"/>
      <w:numFmt w:val="decimal"/>
      <w:suff w:val="nothing"/>
      <w:lvlText w:val="%1、"/>
      <w:lvlJc w:val="left"/>
    </w:lvl>
  </w:abstractNum>
  <w:abstractNum w:abstractNumId="5">
    <w:nsid w:val="3A71376C"/>
    <w:multiLevelType w:val="singleLevel"/>
    <w:tmpl w:val="3A71376C"/>
    <w:lvl w:ilvl="0" w:tentative="0">
      <w:start w:val="1"/>
      <w:numFmt w:val="decimal"/>
      <w:suff w:val="nothing"/>
      <w:lvlText w:val="%1、"/>
      <w:lvlJc w:val="left"/>
    </w:lvl>
  </w:abstractNum>
  <w:abstractNum w:abstractNumId="6">
    <w:nsid w:val="43A51EC4"/>
    <w:multiLevelType w:val="singleLevel"/>
    <w:tmpl w:val="43A51EC4"/>
    <w:lvl w:ilvl="0" w:tentative="0">
      <w:start w:val="1"/>
      <w:numFmt w:val="decimal"/>
      <w:suff w:val="nothing"/>
      <w:lvlText w:val="%1、"/>
      <w:lvlJc w:val="left"/>
    </w:lvl>
  </w:abstractNum>
  <w:num w:numId="1">
    <w:abstractNumId w:val="0"/>
  </w:num>
  <w:num w:numId="2">
    <w:abstractNumId w:val="5"/>
  </w:num>
  <w:num w:numId="3">
    <w:abstractNumId w:val="3"/>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560C4F"/>
    <w:rsid w:val="0EF11A83"/>
    <w:rsid w:val="13177237"/>
    <w:rsid w:val="27DD4E11"/>
    <w:rsid w:val="37560C4F"/>
    <w:rsid w:val="3E4F51FB"/>
    <w:rsid w:val="41B80A06"/>
    <w:rsid w:val="49E45E30"/>
    <w:rsid w:val="66943181"/>
    <w:rsid w:val="735A644A"/>
    <w:rsid w:val="746110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微软雅黑 Light" w:cs="宋体"/>
      <w:color w:val="000000"/>
      <w:kern w:val="2"/>
      <w:sz w:val="24"/>
      <w:szCs w:val="21"/>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2018-04-27T06:58:00Z</dcterms:created>
  <dc:creator>ch2012wh</dc:creator>
  <cp:lastModifiedBy>ch2012wh</cp:lastModifiedBy>
  <dcterms:modified xsi:type="dcterms:W3CDTF">2018-04-27T08:24:51Z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