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64" w:rsidRPr="00FB4B64" w:rsidRDefault="00FB4B64" w:rsidP="00FB4B64">
      <w:pPr>
        <w:pStyle w:val="a5"/>
        <w:shd w:val="clear" w:color="auto" w:fill="FFFFFF"/>
        <w:spacing w:before="0" w:beforeAutospacing="0" w:after="0" w:afterAutospacing="0" w:line="360" w:lineRule="auto"/>
        <w:jc w:val="center"/>
        <w:rPr>
          <w:rFonts w:ascii="黑体" w:eastAsia="黑体" w:hAnsi="黑体"/>
          <w:color w:val="000000"/>
          <w:sz w:val="32"/>
          <w:szCs w:val="32"/>
        </w:rPr>
      </w:pPr>
      <w:r w:rsidRPr="00FB4B64">
        <w:rPr>
          <w:rStyle w:val="a6"/>
          <w:rFonts w:ascii="黑体" w:eastAsia="黑体" w:hAnsi="黑体" w:hint="eastAsia"/>
          <w:color w:val="000000"/>
          <w:sz w:val="32"/>
          <w:szCs w:val="32"/>
        </w:rPr>
        <w:t>2018年度国家法治与法学理论研究项目课题指南目录</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Style w:val="a6"/>
          <w:rFonts w:hint="eastAsia"/>
          <w:color w:val="000000"/>
        </w:rPr>
        <w:t xml:space="preserve">　一、重点课题</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 习近平总书记关于全面推进依法治国的新理念新思想新战略研究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 新时代全面推进依法治国研究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 长江保护立法研究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 海南自由贸易试验区和中国特色自由贸易港建设法治保障和法律服务研究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 雄安新区建设法治保障和法律服务研究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 大数据与网络安全立法研究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 社会主义法治文化建设研究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8. 国家机构改革与国家机构组织法研究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9. 公共法律服务体系制度建设研究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10. 改善营商环境与完善商事法制研究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11. 企业海外投资风险防范法律对策研究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w:t>
      </w:r>
      <w:r w:rsidRPr="00352D57">
        <w:rPr>
          <w:rStyle w:val="a6"/>
          <w:rFonts w:hint="eastAsia"/>
          <w:color w:val="000000"/>
        </w:rPr>
        <w:t xml:space="preserve">　二、 一般课题</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12.法律统一资格考试命题制度比较研究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13.法律职业伦理比较研究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14.法治评估方法研究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15.法治文化建设与去除宗教极端化思想研究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16.人工智能的法律规制研究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17.司法解释的规范化研究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18.汉朝基层司法运作研究——基于新出土法律文献</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19.中国古代法律解释研究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20.中国古代监察制度流变研究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21.地方立法备案审查机制研究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22.国家的社会权利保障义务研究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23.改革开放与宪法修改研究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24.完善合宪性审查机制研究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25.乡村振兴战略背景下民族地区乡村治理体制机制创新研究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lastRenderedPageBreak/>
        <w:t xml:space="preserve">　　26.依法推进国家监察体制改革研究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27.行政协议诉讼的法律适用研究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28.戒毒人员权利保障制度研究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29.事权与支出责任动态调整机制法治化研究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30.信访法治化研究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31.优化营商环境的行政监管制度改革研究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32.行政确认无效研究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33.征信制度的法律规制研究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34.非刑罚性犯罪制裁研究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35.极端主义的群体心理学研究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36.监狱法修订研究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37.侵犯公民个人信息罪的司法认定</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38.数据权的刑法保护研究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39.少年收容教养制度改革研究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40.刑法中的“明知”及其司法认定</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41.罪犯分类教育与评估研究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42.商事仲裁的司法监督</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43.家事审判情理法模式的现代建构</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44.辩护律师全覆盖的难点与对策研究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45.民商事纠纷网上审理标准规范体系研究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46.人工智能时代在线公证研究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47.统一司法鉴定标准化研究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48.未成年服刑人员重返社会法律保障与机制建设研究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49.刑事辩护职业伦理研究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50.员额制背景下的法官胜任力模型构建</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51.创业公司股权结构法律问题研究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52.非典型担保法律问题研究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53.民法典分则与农地用益物权体系构建</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54.人工智能产品法律责任研究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lastRenderedPageBreak/>
        <w:t xml:space="preserve">　　55.商业养老保险法律问题研究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56.数据确权与交易法律问题研究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57.中国当代民事习惯调查与司法裁判适用研究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58.公司治理的改革与公司法的修改完善</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59.《税收征收管理法》修改研究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60.保险、银行业监管机构合并后监管功能整合研究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61.政府与社会资本合作(PPP)纠纷解决机制研究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62.互联网金融的法律规制研究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63.数字货币的法律监管</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64.互联网平台竞争的法律规制研究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65.产业政策法治化司法保障研究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66.中国破产法修订研究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67.涉外法律服务平台机制研究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68.朝鲜半岛和平机制构建的国际法问题研究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69.构建人类命运共同体的国际法促进与保障研究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70.国际投资仲裁案例的大数据分析</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71.论海牙“判决项目”的最新发展——中国视角、立场与方案</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72.外国投资移民措施对我国反腐败追逃追赃的影响研究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73.外逃人员缺席审判法律制度研究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74.党政同责环保督察立法研究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75.国家公园立法研究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76.环境法典编纂研究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77.人类遗传资源法律保障研究</w:t>
      </w:r>
    </w:p>
    <w:p w:rsidR="00FB4B64" w:rsidRPr="00352D57" w:rsidRDefault="00FB4B64" w:rsidP="00FB4B64">
      <w:pPr>
        <w:pStyle w:val="a5"/>
        <w:shd w:val="clear" w:color="auto" w:fill="FFFFFF"/>
        <w:spacing w:before="0" w:beforeAutospacing="0" w:after="0" w:afterAutospacing="0" w:line="360" w:lineRule="auto"/>
        <w:rPr>
          <w:color w:val="000000"/>
        </w:rPr>
      </w:pPr>
      <w:r w:rsidRPr="00352D57">
        <w:rPr>
          <w:rFonts w:hint="eastAsia"/>
          <w:color w:val="000000"/>
        </w:rPr>
        <w:t xml:space="preserve">　　78.排污许可制度立法研究</w:t>
      </w:r>
    </w:p>
    <w:p w:rsidR="00FB4B64" w:rsidRPr="00352D57" w:rsidRDefault="00FB4B64" w:rsidP="00FB4B64">
      <w:pPr>
        <w:spacing w:line="360" w:lineRule="auto"/>
        <w:rPr>
          <w:sz w:val="24"/>
          <w:szCs w:val="24"/>
        </w:rPr>
      </w:pPr>
    </w:p>
    <w:p w:rsidR="00750DFA" w:rsidRPr="00FB4B64" w:rsidRDefault="00750DFA"/>
    <w:sectPr w:rsidR="00750DFA" w:rsidRPr="00FB4B64" w:rsidSect="003E2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7BA" w:rsidRDefault="009137BA" w:rsidP="00FB4B64">
      <w:r>
        <w:separator/>
      </w:r>
    </w:p>
  </w:endnote>
  <w:endnote w:type="continuationSeparator" w:id="1">
    <w:p w:rsidR="009137BA" w:rsidRDefault="009137BA" w:rsidP="00FB4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7BA" w:rsidRDefault="009137BA" w:rsidP="00FB4B64">
      <w:r>
        <w:separator/>
      </w:r>
    </w:p>
  </w:footnote>
  <w:footnote w:type="continuationSeparator" w:id="1">
    <w:p w:rsidR="009137BA" w:rsidRDefault="009137BA" w:rsidP="00FB4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B64"/>
    <w:rsid w:val="003E269E"/>
    <w:rsid w:val="00750DFA"/>
    <w:rsid w:val="009137BA"/>
    <w:rsid w:val="00ED0EB5"/>
    <w:rsid w:val="00FB4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4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4B64"/>
    <w:rPr>
      <w:sz w:val="18"/>
      <w:szCs w:val="18"/>
    </w:rPr>
  </w:style>
  <w:style w:type="paragraph" w:styleId="a4">
    <w:name w:val="footer"/>
    <w:basedOn w:val="a"/>
    <w:link w:val="Char0"/>
    <w:uiPriority w:val="99"/>
    <w:semiHidden/>
    <w:unhideWhenUsed/>
    <w:rsid w:val="00FB4B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4B64"/>
    <w:rPr>
      <w:sz w:val="18"/>
      <w:szCs w:val="18"/>
    </w:rPr>
  </w:style>
  <w:style w:type="paragraph" w:styleId="a5">
    <w:name w:val="Normal (Web)"/>
    <w:basedOn w:val="a"/>
    <w:uiPriority w:val="99"/>
    <w:semiHidden/>
    <w:unhideWhenUsed/>
    <w:rsid w:val="00FB4B6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4B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张今柯</dc:creator>
  <cp:lastModifiedBy>蒋效华</cp:lastModifiedBy>
  <cp:revision>2</cp:revision>
  <dcterms:created xsi:type="dcterms:W3CDTF">2018-07-12T02:17:00Z</dcterms:created>
  <dcterms:modified xsi:type="dcterms:W3CDTF">2018-07-12T02:17:00Z</dcterms:modified>
</cp:coreProperties>
</file>