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2EF" w:rsidRDefault="004116C1">
      <w:pPr>
        <w:pStyle w:val="2"/>
        <w:jc w:val="center"/>
      </w:pPr>
      <w:r>
        <w:rPr>
          <w:rFonts w:hint="eastAsia"/>
        </w:rPr>
        <w:t>法学院“雏鹰扶持计划”</w:t>
      </w:r>
      <w:proofErr w:type="gramStart"/>
      <w:r>
        <w:rPr>
          <w:rFonts w:hint="eastAsia"/>
        </w:rPr>
        <w:t>子基金</w:t>
      </w:r>
      <w:proofErr w:type="gramEnd"/>
      <w:r>
        <w:rPr>
          <w:rFonts w:hint="eastAsia"/>
        </w:rPr>
        <w:t>管理使用实施细则</w:t>
      </w:r>
    </w:p>
    <w:p w:rsidR="005F72EF" w:rsidRDefault="004116C1">
      <w:pPr>
        <w:spacing w:after="72" w:line="19" w:lineRule="atLeast"/>
        <w:ind w:firstLine="444"/>
        <w:rPr>
          <w:rFonts w:ascii="仿宋" w:eastAsia="仿宋" w:hAnsi="仿宋" w:cs="仿宋"/>
          <w:color w:val="333333"/>
          <w:sz w:val="28"/>
          <w:szCs w:val="28"/>
        </w:rPr>
      </w:pPr>
      <w:r>
        <w:rPr>
          <w:rFonts w:ascii="仿宋" w:eastAsia="仿宋" w:hAnsi="仿宋" w:cs="仿宋" w:hint="eastAsia"/>
          <w:kern w:val="0"/>
          <w:sz w:val="28"/>
          <w:szCs w:val="28"/>
          <w:lang w:bidi="ar"/>
        </w:rPr>
        <w:t>为深入推进法学院国际化办学进程，培养具有国际视野和国际竞争力的高素质人才，法学院在“中南法学一流学科建设基金”下设“雏鹰扶持计划”子基金，鼓励更多法学院学子参加出国交流项目。为规范、合理使用基金，制定</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本实施细则。</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b/>
          <w:kern w:val="0"/>
          <w:sz w:val="28"/>
          <w:szCs w:val="28"/>
          <w:lang w:bidi="ar"/>
        </w:rPr>
        <w:t>第一条</w:t>
      </w:r>
      <w:r>
        <w:rPr>
          <w:rFonts w:ascii="仿宋" w:eastAsia="仿宋" w:hAnsi="仿宋" w:cs="仿宋" w:hint="eastAsia"/>
          <w:b/>
          <w:kern w:val="0"/>
          <w:sz w:val="28"/>
          <w:szCs w:val="28"/>
          <w:lang w:bidi="ar"/>
        </w:rPr>
        <w:t> </w:t>
      </w:r>
      <w:r>
        <w:rPr>
          <w:rStyle w:val="a4"/>
          <w:rFonts w:ascii="仿宋" w:eastAsia="仿宋" w:hAnsi="仿宋" w:cs="仿宋" w:hint="eastAsia"/>
          <w:kern w:val="0"/>
          <w:sz w:val="28"/>
          <w:szCs w:val="28"/>
          <w:lang w:bidi="ar"/>
        </w:rPr>
        <w:t>申请条件</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、法学专业全日制在籍本科生、硕士生、博士生。</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、遵守国家法律法规及校规校纪，品行端正，无违法违纪行为。</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、学习态度端正，勤奋刻苦，成绩优良，无不及格课程。</w:t>
      </w:r>
    </w:p>
    <w:p w:rsidR="005F72EF" w:rsidRDefault="004116C1">
      <w:pPr>
        <w:spacing w:after="72" w:line="19" w:lineRule="atLeast"/>
        <w:ind w:firstLine="384"/>
        <w:rPr>
          <w:rFonts w:ascii="仿宋" w:eastAsia="仿宋" w:hAnsi="仿宋" w:cs="仿宋"/>
          <w:kern w:val="0"/>
          <w:sz w:val="28"/>
          <w:szCs w:val="28"/>
          <w:lang w:bidi="ar"/>
        </w:rPr>
      </w:pPr>
      <w:r>
        <w:rPr>
          <w:rFonts w:ascii="仿宋" w:eastAsia="仿宋" w:hAnsi="仿宋" w:cs="仿宋" w:hint="eastAsia"/>
          <w:kern w:val="0"/>
          <w:sz w:val="28"/>
          <w:szCs w:val="28"/>
          <w:lang w:bidi="ar"/>
        </w:rPr>
        <w:t>4</w:t>
      </w:r>
      <w:r>
        <w:rPr>
          <w:rFonts w:ascii="仿宋" w:eastAsia="仿宋" w:hAnsi="仿宋" w:cs="仿宋" w:hint="eastAsia"/>
          <w:kern w:val="0"/>
          <w:sz w:val="28"/>
          <w:szCs w:val="28"/>
          <w:lang w:bidi="ar"/>
        </w:rPr>
        <w:t>、获得教育部认定的国外正规大学法学专业交流项目的邀请信或录取函。</w:t>
      </w:r>
    </w:p>
    <w:p w:rsidR="005F72EF" w:rsidRDefault="004116C1">
      <w:pPr>
        <w:spacing w:after="72" w:line="19" w:lineRule="atLeast"/>
        <w:ind w:firstLine="384"/>
        <w:rPr>
          <w:rFonts w:ascii="仿宋" w:eastAsia="仿宋" w:hAnsi="仿宋" w:cs="仿宋"/>
          <w:kern w:val="0"/>
          <w:sz w:val="28"/>
          <w:szCs w:val="28"/>
          <w:lang w:bidi="ar"/>
        </w:rPr>
      </w:pPr>
      <w:r>
        <w:rPr>
          <w:rFonts w:ascii="仿宋" w:eastAsia="仿宋" w:hAnsi="仿宋" w:cs="仿宋" w:hint="eastAsia"/>
          <w:kern w:val="0"/>
          <w:sz w:val="28"/>
          <w:szCs w:val="28"/>
          <w:lang w:bidi="ar"/>
        </w:rPr>
        <w:t>5</w:t>
      </w:r>
      <w:r>
        <w:rPr>
          <w:rFonts w:ascii="仿宋" w:eastAsia="仿宋" w:hAnsi="仿宋" w:cs="仿宋" w:hint="eastAsia"/>
          <w:kern w:val="0"/>
          <w:sz w:val="28"/>
          <w:szCs w:val="28"/>
          <w:lang w:bidi="ar"/>
        </w:rPr>
        <w:t>、已申请当年国家留学基金委资助。</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b/>
          <w:kern w:val="0"/>
          <w:sz w:val="28"/>
          <w:szCs w:val="28"/>
          <w:lang w:bidi="ar"/>
        </w:rPr>
        <w:t>第二条</w:t>
      </w:r>
      <w:r>
        <w:rPr>
          <w:rFonts w:ascii="仿宋" w:eastAsia="仿宋" w:hAnsi="仿宋" w:cs="仿宋" w:hint="eastAsia"/>
          <w:b/>
          <w:kern w:val="0"/>
          <w:sz w:val="28"/>
          <w:szCs w:val="28"/>
          <w:lang w:bidi="ar"/>
        </w:rPr>
        <w:t> </w:t>
      </w:r>
      <w:r>
        <w:rPr>
          <w:rStyle w:val="a4"/>
          <w:rFonts w:ascii="仿宋" w:eastAsia="仿宋" w:hAnsi="仿宋" w:cs="仿宋" w:hint="eastAsia"/>
          <w:kern w:val="0"/>
          <w:sz w:val="28"/>
          <w:szCs w:val="28"/>
          <w:lang w:bidi="ar"/>
        </w:rPr>
        <w:t>资助类型</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、经学校、学院组织选拔的短期实习、冬夏令营。</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、经学校、学院组织选拔的为期三个月以上的交换生项目、访问学者项目。</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、国外攻读学位。</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b/>
          <w:kern w:val="0"/>
          <w:sz w:val="28"/>
          <w:szCs w:val="28"/>
          <w:lang w:bidi="ar"/>
        </w:rPr>
        <w:t>第三条</w:t>
      </w:r>
      <w:r>
        <w:rPr>
          <w:rFonts w:ascii="仿宋" w:eastAsia="仿宋" w:hAnsi="仿宋" w:cs="仿宋" w:hint="eastAsia"/>
          <w:b/>
          <w:kern w:val="0"/>
          <w:sz w:val="28"/>
          <w:szCs w:val="28"/>
          <w:lang w:bidi="ar"/>
        </w:rPr>
        <w:t> </w:t>
      </w:r>
      <w:r>
        <w:rPr>
          <w:rStyle w:val="a4"/>
          <w:rFonts w:ascii="仿宋" w:eastAsia="仿宋" w:hAnsi="仿宋" w:cs="仿宋" w:hint="eastAsia"/>
          <w:kern w:val="0"/>
          <w:sz w:val="28"/>
          <w:szCs w:val="28"/>
          <w:lang w:bidi="ar"/>
        </w:rPr>
        <w:t>资助金额</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、短期实习、冬夏令营：每个项目资助</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人，每人资助</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万元，一年内资助总额原则上不超过</w:t>
      </w:r>
      <w:r>
        <w:rPr>
          <w:rFonts w:ascii="仿宋" w:eastAsia="仿宋" w:hAnsi="仿宋" w:cs="仿宋" w:hint="eastAsia"/>
          <w:kern w:val="0"/>
          <w:sz w:val="28"/>
          <w:szCs w:val="28"/>
          <w:lang w:bidi="ar"/>
        </w:rPr>
        <w:t>10</w:t>
      </w:r>
      <w:r>
        <w:rPr>
          <w:rFonts w:ascii="仿宋" w:eastAsia="仿宋" w:hAnsi="仿宋" w:cs="仿宋" w:hint="eastAsia"/>
          <w:kern w:val="0"/>
          <w:sz w:val="28"/>
          <w:szCs w:val="28"/>
          <w:lang w:bidi="ar"/>
        </w:rPr>
        <w:t>万元。</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、交换生项目、访问学者：每个项目资助</w:t>
      </w: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人。按国家公派留学人员奖学金资助标准的</w:t>
      </w:r>
      <w:r>
        <w:rPr>
          <w:rFonts w:ascii="仿宋" w:eastAsia="仿宋" w:hAnsi="仿宋" w:cs="仿宋" w:hint="eastAsia"/>
          <w:kern w:val="0"/>
          <w:sz w:val="28"/>
          <w:szCs w:val="28"/>
          <w:lang w:bidi="ar"/>
        </w:rPr>
        <w:t>70%</w:t>
      </w:r>
      <w:r>
        <w:rPr>
          <w:rFonts w:ascii="仿宋" w:eastAsia="仿宋" w:hAnsi="仿宋" w:cs="仿宋" w:hint="eastAsia"/>
          <w:kern w:val="0"/>
          <w:sz w:val="28"/>
          <w:szCs w:val="28"/>
          <w:lang w:bidi="ar"/>
        </w:rPr>
        <w:t>予以资助。一年内资助总额原则上不超过</w:t>
      </w:r>
      <w:r>
        <w:rPr>
          <w:rFonts w:ascii="仿宋" w:eastAsia="仿宋" w:hAnsi="仿宋" w:cs="仿宋" w:hint="eastAsia"/>
          <w:kern w:val="0"/>
          <w:sz w:val="28"/>
          <w:szCs w:val="28"/>
          <w:lang w:bidi="ar"/>
        </w:rPr>
        <w:t>60</w:t>
      </w:r>
      <w:r>
        <w:rPr>
          <w:rFonts w:ascii="仿宋" w:eastAsia="仿宋" w:hAnsi="仿宋" w:cs="仿宋" w:hint="eastAsia"/>
          <w:kern w:val="0"/>
          <w:sz w:val="28"/>
          <w:szCs w:val="28"/>
          <w:lang w:bidi="ar"/>
        </w:rPr>
        <w:t>万元。</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、攻</w:t>
      </w:r>
      <w:r>
        <w:rPr>
          <w:rFonts w:ascii="仿宋" w:eastAsia="仿宋" w:hAnsi="仿宋" w:cs="仿宋" w:hint="eastAsia"/>
          <w:kern w:val="0"/>
          <w:sz w:val="28"/>
          <w:szCs w:val="28"/>
          <w:lang w:bidi="ar"/>
        </w:rPr>
        <w:t>读学位：攻读硕士学位，一、二类学校分别资助</w:t>
      </w:r>
      <w:r>
        <w:rPr>
          <w:rFonts w:ascii="仿宋" w:eastAsia="仿宋" w:hAnsi="仿宋" w:cs="仿宋" w:hint="eastAsia"/>
          <w:color w:val="FF0000"/>
          <w:kern w:val="0"/>
          <w:sz w:val="28"/>
          <w:szCs w:val="28"/>
          <w:lang w:bidi="ar"/>
        </w:rPr>
        <w:t>10</w:t>
      </w:r>
      <w:r>
        <w:rPr>
          <w:rFonts w:ascii="仿宋" w:eastAsia="仿宋" w:hAnsi="仿宋" w:cs="仿宋" w:hint="eastAsia"/>
          <w:color w:val="FF0000"/>
          <w:kern w:val="0"/>
          <w:sz w:val="28"/>
          <w:szCs w:val="28"/>
          <w:lang w:bidi="ar"/>
        </w:rPr>
        <w:t>万元、</w:t>
      </w:r>
      <w:r>
        <w:rPr>
          <w:rFonts w:ascii="仿宋" w:eastAsia="仿宋" w:hAnsi="仿宋" w:cs="仿宋" w:hint="eastAsia"/>
          <w:color w:val="FF0000"/>
          <w:kern w:val="0"/>
          <w:sz w:val="28"/>
          <w:szCs w:val="28"/>
          <w:lang w:bidi="ar"/>
        </w:rPr>
        <w:t>5</w:t>
      </w:r>
      <w:r>
        <w:rPr>
          <w:rFonts w:ascii="仿宋" w:eastAsia="仿宋" w:hAnsi="仿宋" w:cs="仿宋" w:hint="eastAsia"/>
          <w:color w:val="FF0000"/>
          <w:kern w:val="0"/>
          <w:sz w:val="28"/>
          <w:szCs w:val="28"/>
          <w:lang w:bidi="ar"/>
        </w:rPr>
        <w:t>万元</w:t>
      </w:r>
      <w:r>
        <w:rPr>
          <w:rFonts w:ascii="仿宋" w:eastAsia="仿宋" w:hAnsi="仿宋" w:cs="仿宋" w:hint="eastAsia"/>
          <w:kern w:val="0"/>
          <w:sz w:val="28"/>
          <w:szCs w:val="28"/>
          <w:lang w:bidi="ar"/>
        </w:rPr>
        <w:t>；攻读博士学位，一、二类学校分别资助</w:t>
      </w:r>
      <w:r>
        <w:rPr>
          <w:rFonts w:ascii="仿宋" w:eastAsia="仿宋" w:hAnsi="仿宋" w:cs="仿宋" w:hint="eastAsia"/>
          <w:kern w:val="0"/>
          <w:sz w:val="28"/>
          <w:szCs w:val="28"/>
          <w:lang w:bidi="ar"/>
        </w:rPr>
        <w:t>20</w:t>
      </w:r>
      <w:r>
        <w:rPr>
          <w:rFonts w:ascii="仿宋" w:eastAsia="仿宋" w:hAnsi="仿宋" w:cs="仿宋" w:hint="eastAsia"/>
          <w:kern w:val="0"/>
          <w:sz w:val="28"/>
          <w:szCs w:val="28"/>
          <w:lang w:bidi="ar"/>
        </w:rPr>
        <w:t>万元、</w:t>
      </w:r>
      <w:r>
        <w:rPr>
          <w:rFonts w:ascii="仿宋" w:eastAsia="仿宋" w:hAnsi="仿宋" w:cs="仿宋" w:hint="eastAsia"/>
          <w:kern w:val="0"/>
          <w:sz w:val="28"/>
          <w:szCs w:val="28"/>
          <w:lang w:bidi="ar"/>
        </w:rPr>
        <w:t>15</w:t>
      </w:r>
      <w:r>
        <w:rPr>
          <w:rFonts w:ascii="仿宋" w:eastAsia="仿宋" w:hAnsi="仿宋" w:cs="仿宋" w:hint="eastAsia"/>
          <w:kern w:val="0"/>
          <w:sz w:val="28"/>
          <w:szCs w:val="28"/>
          <w:lang w:bidi="ar"/>
        </w:rPr>
        <w:t>万元。一年内资助总额原则上不超过</w:t>
      </w:r>
      <w:r>
        <w:rPr>
          <w:rFonts w:ascii="仿宋" w:eastAsia="仿宋" w:hAnsi="仿宋" w:cs="仿宋" w:hint="eastAsia"/>
          <w:kern w:val="0"/>
          <w:sz w:val="28"/>
          <w:szCs w:val="28"/>
          <w:lang w:bidi="ar"/>
        </w:rPr>
        <w:t>130</w:t>
      </w:r>
      <w:r>
        <w:rPr>
          <w:rFonts w:ascii="仿宋" w:eastAsia="仿宋" w:hAnsi="仿宋" w:cs="仿宋" w:hint="eastAsia"/>
          <w:kern w:val="0"/>
          <w:sz w:val="28"/>
          <w:szCs w:val="28"/>
          <w:lang w:bidi="ar"/>
        </w:rPr>
        <w:t>万元。一、二类学校参考目录见附件。</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b/>
          <w:kern w:val="0"/>
          <w:sz w:val="28"/>
          <w:szCs w:val="28"/>
          <w:lang w:bidi="ar"/>
        </w:rPr>
        <w:t>第四条</w:t>
      </w:r>
      <w:r>
        <w:rPr>
          <w:rFonts w:ascii="仿宋" w:eastAsia="仿宋" w:hAnsi="仿宋" w:cs="仿宋" w:hint="eastAsia"/>
          <w:b/>
          <w:kern w:val="0"/>
          <w:sz w:val="28"/>
          <w:szCs w:val="28"/>
          <w:lang w:bidi="ar"/>
        </w:rPr>
        <w:t> </w:t>
      </w:r>
      <w:r>
        <w:rPr>
          <w:rStyle w:val="a4"/>
          <w:rFonts w:ascii="仿宋" w:eastAsia="仿宋" w:hAnsi="仿宋" w:cs="仿宋" w:hint="eastAsia"/>
          <w:kern w:val="0"/>
          <w:sz w:val="28"/>
          <w:szCs w:val="28"/>
          <w:lang w:bidi="ar"/>
        </w:rPr>
        <w:t>遴选程序</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、遴选时间：每学年春季学期启动当学年评选工作。</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、遴选程序：</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）学生根据申请条件自愿报名，向学院提交录取证明、成绩单、外语水平证明件、荣誉证书复印件等相关材料。本科生提交至法学院学生工作办公室，研究生提交至研究生工作办公室。</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）法学院进行资格审核，初审后提交法学一流学科建设执行委员会。</w:t>
      </w:r>
    </w:p>
    <w:p w:rsidR="005F72EF" w:rsidRDefault="004116C1">
      <w:pPr>
        <w:spacing w:after="72" w:line="19" w:lineRule="atLeast"/>
        <w:ind w:firstLine="336"/>
        <w:rPr>
          <w:rFonts w:ascii="仿宋" w:eastAsia="仿宋" w:hAnsi="仿宋" w:cs="仿宋"/>
          <w:color w:val="333333"/>
          <w:sz w:val="28"/>
          <w:szCs w:val="28"/>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）法学一流学科建设执行委员会根据项目情况、学生个人情况、年度基金额度确定每年资助名单、资助人数和资助额度。</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b/>
          <w:kern w:val="0"/>
          <w:sz w:val="28"/>
          <w:szCs w:val="28"/>
          <w:lang w:bidi="ar"/>
        </w:rPr>
        <w:t>第五条</w:t>
      </w:r>
      <w:r>
        <w:rPr>
          <w:rFonts w:ascii="仿宋" w:eastAsia="仿宋" w:hAnsi="仿宋" w:cs="仿宋" w:hint="eastAsia"/>
          <w:b/>
          <w:kern w:val="0"/>
          <w:sz w:val="28"/>
          <w:szCs w:val="28"/>
          <w:lang w:bidi="ar"/>
        </w:rPr>
        <w:t> </w:t>
      </w:r>
      <w:r>
        <w:rPr>
          <w:rStyle w:val="a4"/>
          <w:rFonts w:ascii="仿宋" w:eastAsia="仿宋" w:hAnsi="仿宋" w:cs="仿宋" w:hint="eastAsia"/>
          <w:kern w:val="0"/>
          <w:sz w:val="28"/>
          <w:szCs w:val="28"/>
          <w:lang w:bidi="ar"/>
        </w:rPr>
        <w:t>遴选标准</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、本基金每年使用总额度不超过</w:t>
      </w:r>
      <w:r>
        <w:rPr>
          <w:rFonts w:ascii="仿宋" w:eastAsia="仿宋" w:hAnsi="仿宋" w:cs="仿宋" w:hint="eastAsia"/>
          <w:kern w:val="0"/>
          <w:sz w:val="28"/>
          <w:szCs w:val="28"/>
          <w:lang w:bidi="ar"/>
        </w:rPr>
        <w:t>200</w:t>
      </w:r>
      <w:r>
        <w:rPr>
          <w:rFonts w:ascii="仿宋" w:eastAsia="仿宋" w:hAnsi="仿宋" w:cs="仿宋" w:hint="eastAsia"/>
          <w:kern w:val="0"/>
          <w:sz w:val="28"/>
          <w:szCs w:val="28"/>
          <w:lang w:bidi="ar"/>
        </w:rPr>
        <w:t>万元。法学一流学科建设执行委员会根据当年</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资金使用情况和申请人的学业成绩、语言水平、家庭经济情况、出访地区的吃住</w:t>
      </w:r>
      <w:r>
        <w:rPr>
          <w:rFonts w:ascii="仿宋" w:eastAsia="仿宋" w:hAnsi="仿宋" w:cs="仿宋" w:hint="eastAsia"/>
          <w:kern w:val="0"/>
          <w:sz w:val="28"/>
          <w:szCs w:val="28"/>
          <w:lang w:bidi="ar"/>
        </w:rPr>
        <w:t>行条件等综合评定，可适当调整各类交流项目的资金使用额度。</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、攻读学位的学生，若就读学校不在本细则规定的一、二类学校参考目录内，亦可提出申请，由法学一流学科建设执行委员会评审决定是否予以资助。</w:t>
      </w:r>
    </w:p>
    <w:p w:rsidR="005F72EF" w:rsidRDefault="004116C1">
      <w:pPr>
        <w:spacing w:after="72" w:line="19" w:lineRule="atLeast"/>
        <w:ind w:firstLine="384"/>
        <w:rPr>
          <w:rFonts w:ascii="仿宋" w:eastAsia="仿宋" w:hAnsi="仿宋" w:cs="仿宋"/>
          <w:kern w:val="0"/>
          <w:sz w:val="28"/>
          <w:szCs w:val="28"/>
          <w:lang w:bidi="ar"/>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、获得国家留学基金委的资助和作为师资储备人才赴国外攻读学位的，不再接受本基金资助。</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4</w:t>
      </w:r>
      <w:r>
        <w:rPr>
          <w:rFonts w:ascii="仿宋" w:eastAsia="仿宋" w:hAnsi="仿宋" w:cs="仿宋" w:hint="eastAsia"/>
          <w:kern w:val="0"/>
          <w:sz w:val="28"/>
          <w:szCs w:val="28"/>
          <w:lang w:bidi="ar"/>
        </w:rPr>
        <w:t>、申请学生若已获得高于本基金标准的其他资助，则不再提供资助；若所获其他资助低于本基金标资，则按本标准补齐差额。</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5</w:t>
      </w:r>
      <w:r>
        <w:rPr>
          <w:rFonts w:ascii="仿宋" w:eastAsia="仿宋" w:hAnsi="仿宋" w:cs="仿宋" w:hint="eastAsia"/>
          <w:kern w:val="0"/>
          <w:sz w:val="28"/>
          <w:szCs w:val="28"/>
          <w:lang w:bidi="ar"/>
        </w:rPr>
        <w:t>、对家庭条件特别困难、学习成绩特别优秀、交流学校特别知名的学生，经法学一流学科建设执行委员会评审同意，可予以全额资助。</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b/>
          <w:kern w:val="0"/>
          <w:sz w:val="28"/>
          <w:szCs w:val="28"/>
          <w:lang w:bidi="ar"/>
        </w:rPr>
        <w:t>第六条</w:t>
      </w:r>
      <w:r>
        <w:rPr>
          <w:rFonts w:ascii="仿宋" w:eastAsia="仿宋" w:hAnsi="仿宋" w:cs="仿宋" w:hint="eastAsia"/>
          <w:b/>
          <w:kern w:val="0"/>
          <w:sz w:val="28"/>
          <w:szCs w:val="28"/>
          <w:lang w:bidi="ar"/>
        </w:rPr>
        <w:t> </w:t>
      </w:r>
      <w:r>
        <w:rPr>
          <w:rStyle w:val="a4"/>
          <w:rFonts w:ascii="仿宋" w:eastAsia="仿宋" w:hAnsi="仿宋" w:cs="仿宋" w:hint="eastAsia"/>
          <w:kern w:val="0"/>
          <w:sz w:val="28"/>
          <w:szCs w:val="28"/>
          <w:lang w:bidi="ar"/>
        </w:rPr>
        <w:t>资助发放</w:t>
      </w:r>
    </w:p>
    <w:p w:rsidR="005F72EF" w:rsidRDefault="004116C1">
      <w:pPr>
        <w:spacing w:after="72" w:line="19" w:lineRule="atLeast"/>
        <w:ind w:firstLine="444"/>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、短期实习、冬夏令营在评审结束后一次性发放。</w:t>
      </w:r>
    </w:p>
    <w:p w:rsidR="005F72EF" w:rsidRDefault="004116C1">
      <w:pPr>
        <w:spacing w:after="72" w:line="19" w:lineRule="atLeast"/>
        <w:ind w:firstLine="444"/>
        <w:rPr>
          <w:rFonts w:ascii="仿宋" w:eastAsia="仿宋" w:hAnsi="仿宋" w:cs="仿宋"/>
          <w:color w:val="333333"/>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、交换生、访问学者在项目完成后发放。</w:t>
      </w:r>
    </w:p>
    <w:p w:rsidR="005F72EF" w:rsidRDefault="004116C1">
      <w:pPr>
        <w:spacing w:after="72" w:line="19" w:lineRule="atLeast"/>
        <w:ind w:firstLine="444"/>
        <w:rPr>
          <w:rFonts w:ascii="仿宋" w:eastAsia="仿宋" w:hAnsi="仿宋" w:cs="仿宋"/>
          <w:kern w:val="0"/>
          <w:sz w:val="28"/>
          <w:szCs w:val="28"/>
          <w:lang w:bidi="ar"/>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、赴国外攻读学位的，学生办理好</w:t>
      </w:r>
      <w:r>
        <w:rPr>
          <w:rFonts w:ascii="仿宋" w:eastAsia="仿宋" w:hAnsi="仿宋" w:cs="仿宋" w:hint="eastAsia"/>
          <w:kern w:val="0"/>
          <w:sz w:val="28"/>
          <w:szCs w:val="28"/>
          <w:lang w:bidi="ar"/>
        </w:rPr>
        <w:t>入学</w:t>
      </w:r>
      <w:r>
        <w:rPr>
          <w:rFonts w:ascii="仿宋" w:eastAsia="仿宋" w:hAnsi="仿宋" w:cs="仿宋" w:hint="eastAsia"/>
          <w:kern w:val="0"/>
          <w:sz w:val="28"/>
          <w:szCs w:val="28"/>
          <w:lang w:bidi="ar"/>
        </w:rPr>
        <w:t>手续后发放</w:t>
      </w:r>
      <w:r>
        <w:rPr>
          <w:rFonts w:ascii="仿宋" w:eastAsia="仿宋" w:hAnsi="仿宋" w:cs="仿宋" w:hint="eastAsia"/>
          <w:color w:val="FF0000"/>
          <w:kern w:val="0"/>
          <w:sz w:val="28"/>
          <w:szCs w:val="28"/>
          <w:lang w:bidi="ar"/>
        </w:rPr>
        <w:t>50%</w:t>
      </w:r>
      <w:r>
        <w:rPr>
          <w:rFonts w:ascii="仿宋" w:eastAsia="仿宋" w:hAnsi="仿宋" w:cs="仿宋" w:hint="eastAsia"/>
          <w:kern w:val="0"/>
          <w:sz w:val="28"/>
          <w:szCs w:val="28"/>
          <w:lang w:bidi="ar"/>
        </w:rPr>
        <w:t>，获得相应学位后发放</w:t>
      </w:r>
      <w:r>
        <w:rPr>
          <w:rFonts w:ascii="仿宋" w:eastAsia="仿宋" w:hAnsi="仿宋" w:cs="仿宋" w:hint="eastAsia"/>
          <w:color w:val="FF0000"/>
          <w:kern w:val="0"/>
          <w:sz w:val="28"/>
          <w:szCs w:val="28"/>
          <w:lang w:bidi="ar"/>
        </w:rPr>
        <w:t>50%</w:t>
      </w:r>
      <w:r>
        <w:rPr>
          <w:rFonts w:ascii="仿宋" w:eastAsia="仿宋" w:hAnsi="仿宋" w:cs="仿宋" w:hint="eastAsia"/>
          <w:kern w:val="0"/>
          <w:sz w:val="28"/>
          <w:szCs w:val="28"/>
          <w:lang w:bidi="ar"/>
        </w:rPr>
        <w:t>。</w:t>
      </w:r>
    </w:p>
    <w:p w:rsidR="005F72EF" w:rsidRDefault="004116C1">
      <w:pPr>
        <w:spacing w:after="72" w:line="19" w:lineRule="atLeast"/>
        <w:ind w:firstLine="444"/>
        <w:rPr>
          <w:rFonts w:ascii="仿宋" w:eastAsia="仿宋" w:hAnsi="仿宋" w:cs="仿宋"/>
          <w:kern w:val="0"/>
          <w:sz w:val="28"/>
          <w:szCs w:val="28"/>
          <w:lang w:bidi="ar"/>
        </w:rPr>
      </w:pPr>
      <w:r>
        <w:rPr>
          <w:rFonts w:ascii="仿宋" w:eastAsia="仿宋" w:hAnsi="仿宋" w:cs="仿宋" w:hint="eastAsia"/>
          <w:kern w:val="0"/>
          <w:sz w:val="28"/>
          <w:szCs w:val="28"/>
          <w:lang w:bidi="ar"/>
        </w:rPr>
        <w:t>4</w:t>
      </w:r>
      <w:r>
        <w:rPr>
          <w:rFonts w:ascii="仿宋" w:eastAsia="仿宋" w:hAnsi="仿宋" w:cs="仿宋" w:hint="eastAsia"/>
          <w:kern w:val="0"/>
          <w:sz w:val="28"/>
          <w:szCs w:val="28"/>
          <w:lang w:bidi="ar"/>
        </w:rPr>
        <w:t>、因资金发放产生的税费由受助个人承担。</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b/>
          <w:kern w:val="0"/>
          <w:sz w:val="28"/>
          <w:szCs w:val="28"/>
          <w:lang w:bidi="ar"/>
        </w:rPr>
        <w:t>第七条</w:t>
      </w:r>
      <w:r>
        <w:rPr>
          <w:rFonts w:ascii="仿宋" w:eastAsia="仿宋" w:hAnsi="仿宋" w:cs="仿宋" w:hint="eastAsia"/>
          <w:b/>
          <w:kern w:val="0"/>
          <w:sz w:val="28"/>
          <w:szCs w:val="28"/>
          <w:lang w:bidi="ar"/>
        </w:rPr>
        <w:t> </w:t>
      </w:r>
      <w:r>
        <w:rPr>
          <w:rStyle w:val="a4"/>
          <w:rFonts w:ascii="仿宋" w:eastAsia="仿宋" w:hAnsi="仿宋" w:cs="仿宋" w:hint="eastAsia"/>
          <w:kern w:val="0"/>
          <w:sz w:val="28"/>
          <w:szCs w:val="28"/>
          <w:lang w:bidi="ar"/>
        </w:rPr>
        <w:t>跟踪管理</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、获助学生在境外学习期间遵守相关法律法规及校规校纪，无违法违纪行为。</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、获助学生在境外学习认真刻苦，成绩优良，按时完成学业。若无法完成学业，收回已发放的资助，剩余资助经费将不再发放。</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、获助学生应关心母校发展，在适当的时候对母校进行必要的宣传和支持。</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4</w:t>
      </w:r>
      <w:r>
        <w:rPr>
          <w:rFonts w:ascii="仿宋" w:eastAsia="仿宋" w:hAnsi="仿宋" w:cs="仿宋" w:hint="eastAsia"/>
          <w:kern w:val="0"/>
          <w:sz w:val="28"/>
          <w:szCs w:val="28"/>
          <w:lang w:bidi="ar"/>
        </w:rPr>
        <w:t>、获助学生完成交流（学习）项目后，应在半年内向在校生进行宣讲和经验分享。</w:t>
      </w:r>
    </w:p>
    <w:p w:rsidR="005F72EF" w:rsidRDefault="004116C1">
      <w:pPr>
        <w:spacing w:after="72" w:line="19" w:lineRule="atLeast"/>
        <w:rPr>
          <w:rFonts w:ascii="仿宋" w:eastAsia="仿宋" w:hAnsi="仿宋" w:cs="仿宋"/>
          <w:color w:val="333333"/>
          <w:sz w:val="28"/>
          <w:szCs w:val="28"/>
        </w:rPr>
      </w:pPr>
      <w:r>
        <w:rPr>
          <w:rStyle w:val="a4"/>
          <w:rFonts w:ascii="仿宋" w:eastAsia="仿宋" w:hAnsi="仿宋" w:cs="仿宋" w:hint="eastAsia"/>
          <w:kern w:val="0"/>
          <w:sz w:val="28"/>
          <w:szCs w:val="28"/>
          <w:lang w:bidi="ar"/>
        </w:rPr>
        <w:t>第八条附则</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、本实施细则自颁布之日起生效，实施五年。</w:t>
      </w:r>
    </w:p>
    <w:p w:rsidR="005F72EF" w:rsidRDefault="004116C1">
      <w:pPr>
        <w:spacing w:after="72" w:line="19" w:lineRule="atLeast"/>
        <w:ind w:firstLine="384"/>
        <w:rPr>
          <w:rFonts w:ascii="仿宋" w:eastAsia="仿宋" w:hAnsi="仿宋" w:cs="仿宋"/>
          <w:kern w:val="0"/>
          <w:sz w:val="28"/>
          <w:szCs w:val="28"/>
          <w:lang w:bidi="ar"/>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、本实施细则的最终解释权属法学一流学科建设执行委员会。</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color w:val="333333"/>
          <w:sz w:val="28"/>
          <w:szCs w:val="28"/>
        </w:rPr>
        <w:br w:type="page"/>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kern w:val="0"/>
          <w:sz w:val="28"/>
          <w:szCs w:val="28"/>
          <w:lang w:bidi="ar"/>
        </w:rPr>
        <w:t>附：</w:t>
      </w:r>
    </w:p>
    <w:p w:rsidR="005F72EF" w:rsidRDefault="004116C1">
      <w:pPr>
        <w:pStyle w:val="2"/>
        <w:jc w:val="center"/>
      </w:pPr>
      <w:r>
        <w:rPr>
          <w:rFonts w:hint="eastAsia"/>
        </w:rPr>
        <w:t>“雏鹰扶持计划”资助攻读学位高校参考目录</w:t>
      </w:r>
    </w:p>
    <w:tbl>
      <w:tblPr>
        <w:tblW w:w="8107" w:type="dxa"/>
        <w:tblLayout w:type="fixed"/>
        <w:tblCellMar>
          <w:left w:w="0" w:type="dxa"/>
          <w:right w:w="0" w:type="dxa"/>
        </w:tblCellMar>
        <w:tblLook w:val="04A0" w:firstRow="1" w:lastRow="0" w:firstColumn="1" w:lastColumn="0" w:noHBand="0" w:noVBand="1"/>
      </w:tblPr>
      <w:tblGrid>
        <w:gridCol w:w="1296"/>
        <w:gridCol w:w="648"/>
        <w:gridCol w:w="3718"/>
        <w:gridCol w:w="2445"/>
      </w:tblGrid>
      <w:tr w:rsidR="005F72EF">
        <w:trPr>
          <w:trHeight w:val="228"/>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等级</w:t>
            </w:r>
          </w:p>
        </w:tc>
        <w:tc>
          <w:tcPr>
            <w:tcW w:w="648" w:type="dxa"/>
            <w:tcBorders>
              <w:top w:val="single" w:sz="4" w:space="0" w:color="000000"/>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序号</w:t>
            </w:r>
          </w:p>
        </w:tc>
        <w:tc>
          <w:tcPr>
            <w:tcW w:w="3718" w:type="dxa"/>
            <w:tcBorders>
              <w:top w:val="single" w:sz="4" w:space="0" w:color="000000"/>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学校</w:t>
            </w:r>
          </w:p>
        </w:tc>
        <w:tc>
          <w:tcPr>
            <w:tcW w:w="2445" w:type="dxa"/>
            <w:tcBorders>
              <w:top w:val="single" w:sz="4" w:space="0" w:color="000000"/>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国家（地区）</w:t>
            </w:r>
          </w:p>
        </w:tc>
      </w:tr>
      <w:tr w:rsidR="005F72EF">
        <w:trPr>
          <w:trHeight w:val="228"/>
        </w:trPr>
        <w:tc>
          <w:tcPr>
            <w:tcW w:w="1296" w:type="dxa"/>
            <w:vMerge w:val="restart"/>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一类</w:t>
            </w: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哈佛大学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2</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牛津大学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英国</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3</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剑桥大学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英国</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4</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耶鲁大学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5</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斯坦福大学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6</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纽约大学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7</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伦敦政治经济学院</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英国</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8</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墨尔本大学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澳大利亚</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9</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东京大学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日本</w:t>
            </w:r>
          </w:p>
        </w:tc>
      </w:tr>
      <w:tr w:rsidR="005F72EF">
        <w:trPr>
          <w:trHeight w:val="228"/>
        </w:trPr>
        <w:tc>
          <w:tcPr>
            <w:tcW w:w="1296" w:type="dxa"/>
            <w:vMerge/>
            <w:tcBorders>
              <w:top w:val="nil"/>
              <w:left w:val="single" w:sz="4" w:space="0" w:color="000000"/>
              <w:bottom w:val="nil"/>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10</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海德堡大学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德国</w:t>
            </w:r>
          </w:p>
        </w:tc>
      </w:tr>
      <w:tr w:rsidR="005F72EF">
        <w:trPr>
          <w:trHeight w:val="228"/>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二类</w:t>
            </w: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加州伯克利分校</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2</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哥伦比亚大学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3</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芝加哥大学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4</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伦敦大学学院</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英国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5</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悉尼大学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澳大利亚</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6</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新加坡国立大学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新加坡</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7</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蒙特利尔大学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加拿大</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8</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伦敦国王学院</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英国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9</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乔治城大学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10</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爱丁堡大学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英国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11</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巴黎第一大学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法国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12</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莫纳什大学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澳大利亚</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13</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proofErr w:type="gramStart"/>
            <w:r>
              <w:rPr>
                <w:rFonts w:ascii="宋体" w:eastAsia="宋体" w:hAnsi="宋体" w:hint="eastAsia"/>
                <w:color w:val="auto"/>
                <w:kern w:val="0"/>
                <w:sz w:val="30"/>
                <w:szCs w:val="30"/>
              </w:rPr>
              <w:t>莱</w:t>
            </w:r>
            <w:proofErr w:type="gramEnd"/>
            <w:r>
              <w:rPr>
                <w:rFonts w:ascii="宋体" w:eastAsia="宋体" w:hAnsi="宋体" w:hint="eastAsia"/>
                <w:color w:val="auto"/>
                <w:kern w:val="0"/>
                <w:sz w:val="30"/>
                <w:szCs w:val="30"/>
              </w:rPr>
              <w:t>顿大学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荷兰</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14</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华盛顿大学圣路易斯分校</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15</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慕尼黑大学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德国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16</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科隆大学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德国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17</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埃默里大学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18</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罗马第一大学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意大利</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19</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特伦托大学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意大利</w:t>
            </w:r>
          </w:p>
        </w:tc>
      </w:tr>
      <w:tr w:rsidR="005F72EF">
        <w:trPr>
          <w:trHeight w:val="228"/>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5F72EF">
            <w:pPr>
              <w:jc w:val="center"/>
              <w:textAlignment w:val="center"/>
              <w:rPr>
                <w:rFonts w:ascii="宋体" w:eastAsia="宋体" w:hAnsi="宋体"/>
                <w:color w:val="auto"/>
                <w:kern w:val="0"/>
                <w:sz w:val="30"/>
                <w:szCs w:val="30"/>
              </w:rPr>
            </w:pPr>
          </w:p>
        </w:tc>
        <w:tc>
          <w:tcPr>
            <w:tcW w:w="64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20</w:t>
            </w:r>
          </w:p>
        </w:tc>
        <w:tc>
          <w:tcPr>
            <w:tcW w:w="3718"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宾夕法尼亚州立大学</w:t>
            </w:r>
          </w:p>
        </w:tc>
        <w:tc>
          <w:tcPr>
            <w:tcW w:w="2445" w:type="dxa"/>
            <w:tcBorders>
              <w:top w:val="nil"/>
              <w:left w:val="nil"/>
              <w:bottom w:val="single" w:sz="4" w:space="0" w:color="000000"/>
              <w:right w:val="single" w:sz="4" w:space="0" w:color="000000"/>
            </w:tcBorders>
            <w:shd w:val="clear" w:color="auto" w:fill="auto"/>
            <w:tcMar>
              <w:top w:w="12" w:type="dxa"/>
              <w:left w:w="12" w:type="dxa"/>
              <w:bottom w:w="12" w:type="dxa"/>
              <w:right w:w="12" w:type="dxa"/>
            </w:tcMar>
            <w:vAlign w:val="center"/>
          </w:tcPr>
          <w:p w:rsidR="005F72EF" w:rsidRDefault="004116C1">
            <w:pPr>
              <w:jc w:val="center"/>
              <w:textAlignment w:val="center"/>
              <w:rPr>
                <w:rFonts w:ascii="宋体" w:eastAsia="宋体" w:hAnsi="宋体"/>
                <w:color w:val="auto"/>
                <w:kern w:val="0"/>
                <w:sz w:val="30"/>
                <w:szCs w:val="30"/>
              </w:rPr>
            </w:pPr>
            <w:r>
              <w:rPr>
                <w:rFonts w:ascii="宋体" w:eastAsia="宋体" w:hAnsi="宋体" w:hint="eastAsia"/>
                <w:color w:val="auto"/>
                <w:kern w:val="0"/>
                <w:sz w:val="30"/>
                <w:szCs w:val="30"/>
              </w:rPr>
              <w:t>美国</w:t>
            </w:r>
          </w:p>
        </w:tc>
      </w:tr>
    </w:tbl>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kern w:val="0"/>
          <w:sz w:val="28"/>
          <w:szCs w:val="28"/>
          <w:lang w:bidi="ar"/>
        </w:rPr>
        <w:t>  </w:t>
      </w:r>
    </w:p>
    <w:p w:rsidR="005F72EF" w:rsidRDefault="004116C1">
      <w:pPr>
        <w:spacing w:after="72" w:line="19" w:lineRule="atLeast"/>
        <w:rPr>
          <w:rFonts w:ascii="仿宋" w:eastAsia="仿宋" w:hAnsi="仿宋" w:cs="仿宋"/>
          <w:color w:val="333333"/>
          <w:sz w:val="28"/>
          <w:szCs w:val="28"/>
        </w:rPr>
      </w:pPr>
      <w:r>
        <w:rPr>
          <w:rFonts w:ascii="仿宋" w:eastAsia="仿宋" w:hAnsi="仿宋" w:cs="仿宋" w:hint="eastAsia"/>
          <w:kern w:val="0"/>
          <w:sz w:val="28"/>
          <w:szCs w:val="28"/>
          <w:lang w:bidi="ar"/>
        </w:rPr>
        <w:t>  </w:t>
      </w:r>
    </w:p>
    <w:p w:rsidR="005F72EF" w:rsidRDefault="004116C1">
      <w:pPr>
        <w:spacing w:after="72" w:line="19" w:lineRule="atLeast"/>
        <w:ind w:firstLine="384"/>
        <w:rPr>
          <w:rFonts w:ascii="仿宋" w:eastAsia="仿宋" w:hAnsi="仿宋" w:cs="仿宋"/>
          <w:color w:val="333333"/>
          <w:sz w:val="28"/>
          <w:szCs w:val="28"/>
        </w:rPr>
      </w:pPr>
      <w:r>
        <w:rPr>
          <w:rFonts w:ascii="仿宋" w:eastAsia="仿宋" w:hAnsi="仿宋" w:cs="仿宋" w:hint="eastAsia"/>
          <w:kern w:val="0"/>
          <w:sz w:val="28"/>
          <w:szCs w:val="28"/>
          <w:lang w:bidi="ar"/>
        </w:rPr>
        <w:t>  </w:t>
      </w:r>
    </w:p>
    <w:p w:rsidR="005F72EF" w:rsidRDefault="004116C1">
      <w:pPr>
        <w:pStyle w:val="a3"/>
        <w:spacing w:before="300" w:beforeAutospacing="0" w:afterAutospacing="0" w:line="276" w:lineRule="atLeast"/>
        <w:jc w:val="center"/>
        <w:rPr>
          <w:rFonts w:ascii="仿宋" w:eastAsia="仿宋" w:hAnsi="仿宋" w:cs="仿宋"/>
          <w:color w:val="E2E2E2"/>
          <w:sz w:val="28"/>
          <w:szCs w:val="28"/>
        </w:rPr>
      </w:pPr>
      <w:r>
        <w:rPr>
          <w:rFonts w:ascii="仿宋" w:eastAsia="仿宋" w:hAnsi="仿宋" w:cs="仿宋" w:hint="eastAsia"/>
          <w:sz w:val="28"/>
          <w:szCs w:val="28"/>
          <w:lang w:bidi="ar"/>
        </w:rPr>
        <w:t>  </w:t>
      </w:r>
    </w:p>
    <w:p w:rsidR="005F72EF" w:rsidRDefault="005F72EF">
      <w:pPr>
        <w:rPr>
          <w:rFonts w:ascii="仿宋" w:eastAsia="仿宋" w:hAnsi="仿宋" w:cs="仿宋"/>
          <w:sz w:val="28"/>
          <w:szCs w:val="28"/>
        </w:rPr>
      </w:pPr>
    </w:p>
    <w:sectPr w:rsidR="005F7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446CEA"/>
    <w:rsid w:val="EBBB4482"/>
    <w:rsid w:val="003A2959"/>
    <w:rsid w:val="004116C1"/>
    <w:rsid w:val="005F72EF"/>
    <w:rsid w:val="0B446CEA"/>
    <w:rsid w:val="15271856"/>
    <w:rsid w:val="1A732E4F"/>
    <w:rsid w:val="20BC675F"/>
    <w:rsid w:val="45461003"/>
    <w:rsid w:val="4FE5ADC7"/>
    <w:rsid w:val="6D535020"/>
    <w:rsid w:val="78F92C65"/>
    <w:rsid w:val="7B782D2E"/>
    <w:rsid w:val="7EDB5425"/>
    <w:rsid w:val="BC3F1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3C5E92"/>
  <w15:docId w15:val="{A6A4D2FB-D53B-4B35-934F-5777ED7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微软雅黑 Light" w:hAnsi="Calibri" w:cs="宋体"/>
      <w:color w:val="000000"/>
      <w:kern w:val="2"/>
      <w:sz w:val="24"/>
      <w:szCs w:val="21"/>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ch2012wh</dc:creator>
  <cp:lastModifiedBy>wang grey</cp:lastModifiedBy>
  <cp:revision>1</cp:revision>
  <cp:lastPrinted>2018-11-16T10:59:00Z</cp:lastPrinted>
  <dcterms:created xsi:type="dcterms:W3CDTF">2022-05-10T07:35:00Z</dcterms:created>
  <dcterms:modified xsi:type="dcterms:W3CDTF">2022-05-10T07:35:00Z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