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bookmarkStart w:id="1" w:name="_GoBack"/>
      <w:r>
        <w:rPr>
          <w:rFonts w:hint="eastAsia"/>
          <w:b/>
          <w:bCs/>
          <w:sz w:val="36"/>
          <w:szCs w:val="36"/>
        </w:rPr>
        <w:t>国际法学毕业论文选题参考（2024届）</w:t>
      </w:r>
    </w:p>
    <w:bookmarkEnd w:id="1"/>
    <w:p>
      <w:pPr>
        <w:spacing w:line="360" w:lineRule="auto"/>
        <w:jc w:val="center"/>
        <w:rPr>
          <w:rFonts w:ascii="Verdana" w:hAnsi="Verdana" w:cs="宋体"/>
          <w:b/>
          <w:color w:val="000000"/>
          <w:kern w:val="0"/>
          <w:sz w:val="32"/>
          <w:szCs w:val="32"/>
        </w:rPr>
      </w:pPr>
    </w:p>
    <w:p>
      <w:pPr>
        <w:pStyle w:val="2"/>
        <w:numPr>
          <w:ilvl w:val="0"/>
          <w:numId w:val="1"/>
        </w:numPr>
      </w:pPr>
      <w:r>
        <w:rPr>
          <w:rFonts w:hint="eastAsia"/>
        </w:rPr>
        <w:t>国际公法方向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经济危机中国际法的应用研究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联合国2758号决议:台湾地位未定论研究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政变的合法性及其国际法律规制(中非政变带)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巴以冲突国际法问题研究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香港法官被制裁的相关法律问题研究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国际刑事法院调查阿富汗情势研究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国际刑事法院调查乌克兰情势研究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国际刑事法院调查巴勒斯坦情势研究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从巴以冲突看国际人道法的危机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联合国在巴以冲突中作用的实证研究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集体安全机制在巴以冲突中运作的实证研究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以色列作为占领者的“自卫权”研究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巴勒斯坦民族自决能否构成恐怖主义？</w:t>
      </w:r>
    </w:p>
    <w:p>
      <w:pPr>
        <w:pStyle w:val="5"/>
        <w:numPr>
          <w:ilvl w:val="0"/>
          <w:numId w:val="2"/>
        </w:numPr>
        <w:spacing w:line="360" w:lineRule="auto"/>
        <w:ind w:left="442" w:hanging="442" w:firstLineChars="0"/>
        <w:rPr>
          <w:rFonts w:hint="eastAsia"/>
          <w:sz w:val="24"/>
        </w:rPr>
      </w:pPr>
      <w:r>
        <w:rPr>
          <w:rFonts w:hint="eastAsia"/>
          <w:sz w:val="24"/>
        </w:rPr>
        <w:t>国际法院乌克兰诉罗斯案研究</w:t>
      </w:r>
    </w:p>
    <w:p>
      <w:pPr>
        <w:numPr>
          <w:ilvl w:val="0"/>
          <w:numId w:val="2"/>
        </w:numPr>
        <w:spacing w:line="360" w:lineRule="auto"/>
        <w:ind w:left="442" w:hanging="442"/>
        <w:rPr>
          <w:sz w:val="24"/>
        </w:rPr>
      </w:pPr>
      <w:r>
        <w:rPr>
          <w:sz w:val="24"/>
        </w:rPr>
        <w:t>低轨巨型星座法律规制问题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外空资源开发与利用法律问题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地月空间探索与开发的法律思考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中国航天器物权法律制度的立法研究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主动清除非本国空间碎片的合法性边界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美国商业航天法律制度对中国的启示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国际法院案例中国际习惯的论证研究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国际法庭中一般法律原则的适用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网络空间的国际法适用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各国网络空间国际法政策比较研究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打击网络犯罪公约的谈判相关问题研究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双碳背景下气候变化国际规则制定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海平面上升的国际法影响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非国家行为体参与国际造法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涉外法治与《对外关系法》研究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反制裁及阻断相关立法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诉诸武力权的理论与实践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哈以冲突中的国际人道法问题分析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论国家对非国家武装团体的自卫权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中立法在俄乌冲突中的适用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《武器贸易条约》在俄乌冲突中的适用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论国际刑事法院检察官初步审查的法律地位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国际人道法视野下的罗兴亚难民问题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日本核污水排海问题的国际人道法分析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打击跨国网络犯罪的国际刑事司法合作问题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论国际组织的表决制度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论国际组织的决策制度</w:t>
      </w:r>
      <w:r>
        <w:rPr>
          <w:rFonts w:hint="eastAsia"/>
          <w:sz w:val="24"/>
        </w:rPr>
        <w:t xml:space="preserve">  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论国际组织的争端解决制度</w:t>
      </w:r>
      <w:r>
        <w:rPr>
          <w:rFonts w:hint="eastAsia"/>
          <w:sz w:val="24"/>
        </w:rPr>
        <w:t xml:space="preserve">  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论国际组织的豁免制度</w:t>
      </w:r>
      <w:r>
        <w:rPr>
          <w:rFonts w:hint="eastAsia"/>
          <w:sz w:val="24"/>
        </w:rPr>
        <w:t xml:space="preserve">  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论国家主权豁免</w:t>
      </w:r>
      <w:r>
        <w:rPr>
          <w:rFonts w:hint="eastAsia"/>
          <w:sz w:val="24"/>
        </w:rPr>
        <w:t xml:space="preserve">  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国际刑事法院调查美国在阿富汗战争罪行研究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俄乌冲突背景下安理会的规则博弈研究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傀儡政权的国际法律规制研究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代理人战争的国际法律规制研究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美英澳核动力航母与《核不扩散公约》研究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阿富汗与政府承认制度的新发展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代理人战争的合法性研究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国际法视野下英国维吾尔特别法庭研究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美国芯片法案的国际法分析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福岛排海的救济路径研究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俄乌冲突背景下美国《租借法案》的合法性研究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从俄乌冲突看国际制裁新特点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侵略罪追诉的现状、问题与对策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联合国会费问题实证研究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儿童数字权利研究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人权法视野下美国宣布紧急状态实践研究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电竞的国际法律问题研究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主权国家管辖权的历史演化研究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国家安全视野下中美间谍罪对比研究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美国制裁背景下的科研自由研究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滴滴在美退市的国际法研究</w:t>
      </w:r>
      <w:r>
        <w:rPr>
          <w:rFonts w:hint="eastAsia" w:cs="宋体"/>
          <w:color w:val="000000"/>
          <w:kern w:val="0"/>
          <w:sz w:val="24"/>
        </w:rPr>
        <w:t xml:space="preserve"> 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试论《南极条约》体系的法律效力和南极的法律地位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北极法律地位的新发展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南极法律制度的新发展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外空旅游法的构建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人权条约报告制度新发展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论外空商业化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个人的国际刑事责任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国际法与国际政治的关系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论难民不推回原则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人类命运共同体与中国的国际法实践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网络言论自由的国际法规制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人工智能背景下教育权的重新解读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人工智能背景下工作权的重新解读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杀手机器人或人工智能武器与生命权的保护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美国空天军的合法性研究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沙特裔记者卡舒吉被害案中的国际法问题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试论国际海底区域法律制度及其新变化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论国际法与国际关系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论国际法与国际政治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国际法方法论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国际法价值论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国际法认识论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论国际法的效力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论国际法由弱变强的趋势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论国际法的法律基础与社会基础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论国际法的法律性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论国际法的渊源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论《国际法院规约》第</w:t>
      </w:r>
      <w:r>
        <w:rPr>
          <w:color w:val="000000"/>
          <w:kern w:val="0"/>
          <w:sz w:val="24"/>
        </w:rPr>
        <w:t>38</w:t>
      </w:r>
      <w:r>
        <w:rPr>
          <w:rFonts w:hint="eastAsia" w:cs="宋体"/>
          <w:color w:val="000000"/>
          <w:kern w:val="0"/>
          <w:sz w:val="24"/>
        </w:rPr>
        <w:t>条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论国际习惯和条约的动静态关系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评国际法与国内法关系的理论与实践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论条约与中国国内法的关系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论国际法与国家主权的保障和限制关系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论新国际经济秩序的国际法基础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论国际法的主体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对个人能否成为国际法主体谈点新看法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评国际法上的承认学说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论国家责任和追究国家责任的方式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论国家的刑事责任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论外国人的法律地位和中国的实践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论国际法上的难民制度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论国际法上引渡制度的新发展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试论国际水法制度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评述国际海洋航行制度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共同开发海洋矿物资源的国际法问题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评析海洋争端解决体制的特点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论海洋法律体制中的内在矛盾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海峡两岸关于空中劫持的法律问题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论外空活动的法律原则与制度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论有关空中劫持条约的主要内容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人权宣言与习惯法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人权宣言与</w:t>
      </w:r>
      <w:r>
        <w:rPr>
          <w:color w:val="000000"/>
          <w:kern w:val="0"/>
          <w:sz w:val="24"/>
        </w:rPr>
        <w:t>1966</w:t>
      </w:r>
      <w:r>
        <w:rPr>
          <w:rFonts w:hint="eastAsia" w:cs="宋体"/>
          <w:color w:val="000000"/>
          <w:kern w:val="0"/>
          <w:sz w:val="24"/>
        </w:rPr>
        <w:t>年人权两公约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论人权方面国际法与国内法关系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试论人权与司法保障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试论人权与法律监督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冷战后国际人权法的新发展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中国参与国际人权活动的理论与实践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评世界人权宣言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论条约保留制度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试论条约法中的情势变迁原则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论联合国大会决议的法律规范性质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小议联合国安理会的改革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对安理会“双重否决权”的理解与评价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联合国在维持国际和平方面的作用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论联合国集体安全体制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论联合国维和行动的法律性质与基础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论联合国维和行动的法律特征和现今发展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试论区域办法在解决国际争端方面的作用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对国际法院适用分庭程序的评价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论国际法解决争端体制的新动向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论国际司法体制的新发展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评述国际刑事法院体制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论国际刑事法院与国内刑事司法体系的关系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论国家主权与国际法的辩证关系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论人权与国家主权</w:t>
      </w:r>
    </w:p>
    <w:p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 w:cs="宋体"/>
          <w:color w:val="000000"/>
          <w:kern w:val="0"/>
          <w:sz w:val="24"/>
        </w:rPr>
        <w:t>会员国主权平等与大国“否决权”</w:t>
      </w:r>
    </w:p>
    <w:p>
      <w:pPr>
        <w:pStyle w:val="2"/>
        <w:numPr>
          <w:ilvl w:val="0"/>
          <w:numId w:val="3"/>
        </w:numPr>
      </w:pPr>
      <w:r>
        <w:rPr>
          <w:rFonts w:hint="eastAsia"/>
        </w:rPr>
        <w:t>二、国际私法方向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1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、跨国代孕的国际私法问题研究；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、同性婚姻的国际私法问题研究；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、人权保护对国际私法的影响；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4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、“一带一路”沿线国家民商法律研究</w:t>
      </w: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;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5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、“一带一路”沿线国家民事诉讼法研究；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6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、“一带一路”沿线国家仲裁法研究；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7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、美国商事仲裁法研究；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8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、英仲商事仲裁法研究；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9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、美国国际私法研究；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10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、欧盟国际私法研究；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11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、海牙国际私法会议公约（草案）研究；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12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、被盗文物返还的国际私法问题研究；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13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、知识产权争议解决机制研究；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14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、跨国环境污染争议解决机制研究；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15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、“一带一路”背景下国际争议解决机制的变革；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16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、我国《涉外民事关系法律适用法》实施中的问题研究；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17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、我国涉外民商事司法实践研究；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18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、我国国际商事仲裁制度改革研究；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19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、我国国际民事诉讼制度研究；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20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、外层空间法律体系中国际私法地位与作用研究；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21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、新时代背景下国家及其财产豁免问题研究；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22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、国际商事法庭的建设和机制创新；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23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、国际商事调解法律问题研究；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24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、难民的国际民事法律地位；</w:t>
      </w: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 xml:space="preserve">  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25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、“一带一路”国际民事司法协助；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26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、新时期中国国际私法立法与实践的回顾与展望；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27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、属人法连结点的发展轨迹和趋势；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28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、我国涉外协议管辖制度研究；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29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、外国民商事判决承认和执行问题研究；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30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、外国仲裁裁决承认与执行问题研究；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31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、我国涉外动产物权法律适用问题研究；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32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、涉外夫妻财产关系法律适用问题研究；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33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、我国涉外劳动合同法律适用问题研究；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34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、我国涉外遗嘱继承法律适用问题研究；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35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、涉外侵权法律适用问题研究；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36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、涉外消费者合同法律适用问题研究；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37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、涉外产品责任法律适用问题研究；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38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、我国国际私法中意思自治原则的扩张与限制；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39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、我国国际私法中“直接适用的法”制度研究；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40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、《联合国国际货物销售合同公约》在我国的适用问题研究；</w:t>
      </w:r>
    </w:p>
    <w:p>
      <w:pPr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41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、人类命运共同体与中国国际私法的变革；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42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、互联网的国际私法问题研究；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rPr>
          <w:rFonts w:ascii="Verdana" w:hAnsi="Verdana" w:cs="宋体"/>
          <w:sz w:val="28"/>
          <w:szCs w:val="28"/>
          <w:shd w:val="clear" w:color="auto" w:fill="FFFFFF"/>
        </w:rPr>
      </w:pPr>
      <w:r>
        <w:rPr>
          <w:rFonts w:ascii="Verdana" w:hAnsi="Verdana" w:cs="宋体"/>
          <w:color w:val="000000"/>
          <w:kern w:val="0"/>
          <w:sz w:val="28"/>
          <w:szCs w:val="28"/>
          <w:shd w:val="clear" w:color="auto" w:fill="FFFFFF"/>
        </w:rPr>
        <w:t>43</w:t>
      </w:r>
      <w:r>
        <w:rPr>
          <w:rFonts w:hint="eastAsia" w:ascii="Verdana" w:hAnsi="Verdana" w:cs="宋体"/>
          <w:color w:val="000000"/>
          <w:kern w:val="0"/>
          <w:sz w:val="28"/>
          <w:szCs w:val="28"/>
          <w:shd w:val="clear" w:color="auto" w:fill="FFFFFF"/>
        </w:rPr>
        <w:t>、大数据的国际私法问题研究；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ascii="Verdana" w:hAnsi="Verdana" w:cs="宋体"/>
          <w:color w:val="000000"/>
          <w:kern w:val="0"/>
          <w:sz w:val="28"/>
          <w:szCs w:val="28"/>
        </w:rPr>
        <w:t>44</w:t>
      </w:r>
      <w:r>
        <w:rPr>
          <w:rFonts w:hint="eastAsia" w:ascii="Verdana" w:hAnsi="Verdana" w:cs="宋体"/>
          <w:color w:val="000000"/>
          <w:kern w:val="0"/>
          <w:sz w:val="28"/>
          <w:szCs w:val="28"/>
        </w:rPr>
        <w:t>、中国参与全球国际私法立法活动研究；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ascii="Verdana" w:hAnsi="Verdana" w:cs="宋体"/>
          <w:color w:val="000000"/>
          <w:kern w:val="0"/>
          <w:sz w:val="28"/>
          <w:szCs w:val="28"/>
        </w:rPr>
        <w:t>45</w:t>
      </w:r>
      <w:r>
        <w:rPr>
          <w:rFonts w:hint="eastAsia" w:ascii="Verdana" w:hAnsi="Verdana" w:cs="宋体"/>
          <w:color w:val="000000"/>
          <w:kern w:val="0"/>
          <w:sz w:val="28"/>
          <w:szCs w:val="28"/>
        </w:rPr>
        <w:t>、国际私法上过度管辖权的限制问题研究；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ascii="Verdana" w:hAnsi="Verdana" w:cs="宋体"/>
          <w:color w:val="000000"/>
          <w:kern w:val="0"/>
          <w:sz w:val="28"/>
          <w:szCs w:val="28"/>
        </w:rPr>
        <w:t>46</w:t>
      </w:r>
      <w:r>
        <w:rPr>
          <w:rFonts w:hint="eastAsia" w:ascii="Verdana" w:hAnsi="Verdana" w:cs="宋体"/>
          <w:color w:val="000000"/>
          <w:kern w:val="0"/>
          <w:sz w:val="28"/>
          <w:szCs w:val="28"/>
        </w:rPr>
        <w:t>、《纽约公约》在我国的实施问题研究；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ascii="Verdana" w:hAnsi="Verdana" w:cs="宋体"/>
          <w:color w:val="000000"/>
          <w:kern w:val="0"/>
          <w:sz w:val="28"/>
          <w:szCs w:val="28"/>
        </w:rPr>
        <w:t>47</w:t>
      </w:r>
      <w:r>
        <w:rPr>
          <w:rFonts w:hint="eastAsia" w:ascii="Verdana" w:hAnsi="Verdana" w:cs="宋体"/>
          <w:color w:val="000000"/>
          <w:kern w:val="0"/>
          <w:sz w:val="28"/>
          <w:szCs w:val="28"/>
        </w:rPr>
        <w:t>、《海牙取证公约》在我国的实施问题研究；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ascii="Verdana" w:hAnsi="Verdana" w:cs="宋体"/>
          <w:color w:val="000000"/>
          <w:kern w:val="0"/>
          <w:sz w:val="28"/>
          <w:szCs w:val="28"/>
        </w:rPr>
        <w:t>48</w:t>
      </w:r>
      <w:r>
        <w:rPr>
          <w:rFonts w:hint="eastAsia" w:ascii="Verdana" w:hAnsi="Verdana" w:cs="宋体"/>
          <w:color w:val="000000"/>
          <w:kern w:val="0"/>
          <w:sz w:val="28"/>
          <w:szCs w:val="28"/>
        </w:rPr>
        <w:t>、《海牙送达公约》在我国的实施问题研究；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ascii="Verdana" w:hAnsi="Verdana" w:cs="宋体"/>
          <w:color w:val="000000"/>
          <w:kern w:val="0"/>
          <w:sz w:val="28"/>
          <w:szCs w:val="28"/>
        </w:rPr>
        <w:t>49</w:t>
      </w:r>
      <w:r>
        <w:rPr>
          <w:rFonts w:hint="eastAsia" w:ascii="Verdana" w:hAnsi="Verdana" w:cs="宋体"/>
          <w:color w:val="000000"/>
          <w:kern w:val="0"/>
          <w:sz w:val="28"/>
          <w:szCs w:val="28"/>
        </w:rPr>
        <w:t>、全球治理的国际私法问题研究；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ascii="Verdana" w:hAnsi="Verdana" w:cs="宋体"/>
          <w:color w:val="000000"/>
          <w:kern w:val="0"/>
          <w:sz w:val="28"/>
          <w:szCs w:val="28"/>
        </w:rPr>
        <w:t>50</w:t>
      </w:r>
      <w:r>
        <w:rPr>
          <w:rFonts w:hint="eastAsia" w:ascii="Verdana" w:hAnsi="Verdana" w:cs="宋体"/>
          <w:color w:val="000000"/>
          <w:kern w:val="0"/>
          <w:sz w:val="28"/>
          <w:szCs w:val="28"/>
        </w:rPr>
        <w:t>、我国区际国际私法问题研究；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color w:val="000000"/>
          <w:kern w:val="0"/>
          <w:sz w:val="28"/>
          <w:szCs w:val="28"/>
        </w:rPr>
        <w:t>51、《新加坡公约》的适用问题研究；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color w:val="000000"/>
          <w:kern w:val="0"/>
          <w:sz w:val="28"/>
          <w:szCs w:val="28"/>
        </w:rPr>
        <w:t>52、跨国阻断追偿诉讼的法律问题研究；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color w:val="000000"/>
          <w:kern w:val="0"/>
          <w:sz w:val="28"/>
          <w:szCs w:val="28"/>
        </w:rPr>
        <w:t>53、境外民事诉讼追赃的法律问题研究；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color w:val="000000"/>
          <w:kern w:val="0"/>
          <w:sz w:val="28"/>
          <w:szCs w:val="28"/>
        </w:rPr>
        <w:t>54、国际商事争议预防的法律问题研究；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color w:val="000000"/>
          <w:kern w:val="0"/>
          <w:sz w:val="28"/>
          <w:szCs w:val="28"/>
        </w:rPr>
        <w:t>55、国际民事诉讼中的禁诉令研究；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color w:val="000000"/>
          <w:kern w:val="0"/>
          <w:sz w:val="28"/>
          <w:szCs w:val="28"/>
        </w:rPr>
        <w:t>56、国际投资仲裁改革问题研究；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color w:val="000000"/>
          <w:kern w:val="0"/>
          <w:sz w:val="28"/>
          <w:szCs w:val="28"/>
        </w:rPr>
        <w:t>57、第三方资助国际仲裁问题研究</w:t>
      </w:r>
      <w:r>
        <w:rPr>
          <w:rFonts w:hint="eastAsia" w:ascii="Verdana" w:hAnsi="Verdana" w:cs="宋体"/>
          <w:sz w:val="28"/>
          <w:szCs w:val="28"/>
        </w:rPr>
        <w:t>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58、论经济制裁对国际商事仲裁的影响；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59、涉外协议管辖问题研究；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60、域外电子取证问题研究；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61、国际平行诉讼解决机制研究；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62、个人信息保护的国际私法问题；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63、跨国公司治理中的国际私法问题研究；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64、后民法典时代中国国际私法典的编撰研究；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65、国际民事诉讼中的国家豁免问题研究；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66、民事诉讼法涉外民事诉讼程序编修订问题研究；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67、我国公法（行政法、经济法等）域外适用制度研究；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68、国别国际私法研究；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69、外国人法研究；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70、国际私法学说史研究；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Ansi="Verdana" w:cs="宋体"/>
          <w:sz w:val="28"/>
          <w:szCs w:val="28"/>
        </w:rPr>
        <w:t>71</w:t>
      </w:r>
      <w:r>
        <w:rPr>
          <w:rFonts w:hint="eastAsia" w:hAnsi="Verdana" w:cs="宋体"/>
          <w:sz w:val="28"/>
          <w:szCs w:val="28"/>
        </w:rPr>
        <w:t>、《对外关系法》与国际私法的关系问题研究；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Ansi="Verdana" w:cs="宋体"/>
          <w:sz w:val="28"/>
          <w:szCs w:val="28"/>
        </w:rPr>
        <w:t>72</w:t>
      </w:r>
      <w:r>
        <w:rPr>
          <w:rFonts w:hint="eastAsia" w:hAnsi="Verdana" w:cs="宋体"/>
          <w:sz w:val="28"/>
          <w:szCs w:val="28"/>
        </w:rPr>
        <w:t>、</w:t>
      </w:r>
      <w:r>
        <w:rPr>
          <w:rFonts w:hint="eastAsia" w:ascii="Verdana" w:hAnsi="Verdana" w:cs="宋体"/>
          <w:sz w:val="28"/>
          <w:szCs w:val="28"/>
        </w:rPr>
        <w:t>《外国国家豁免法》与国际私法关系问题研究；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Ansi="Verdana" w:cs="宋体"/>
          <w:sz w:val="28"/>
          <w:szCs w:val="28"/>
        </w:rPr>
        <w:t>73</w:t>
      </w:r>
      <w:r>
        <w:rPr>
          <w:rFonts w:hint="eastAsia" w:hAnsi="Verdana" w:cs="宋体"/>
          <w:sz w:val="28"/>
          <w:szCs w:val="28"/>
        </w:rPr>
        <w:t>、</w:t>
      </w:r>
      <w:r>
        <w:rPr>
          <w:rFonts w:hint="eastAsia" w:ascii="Verdana" w:hAnsi="Verdana" w:cs="宋体"/>
          <w:sz w:val="28"/>
          <w:szCs w:val="28"/>
        </w:rPr>
        <w:t>《民事诉讼法》涉外编条文修订问题研究；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Ansi="Verdana" w:cs="宋体"/>
          <w:sz w:val="28"/>
          <w:szCs w:val="28"/>
        </w:rPr>
        <w:t>74</w:t>
      </w:r>
      <w:r>
        <w:rPr>
          <w:rFonts w:hint="eastAsia" w:hAnsi="Verdana" w:cs="宋体"/>
          <w:sz w:val="28"/>
          <w:szCs w:val="28"/>
        </w:rPr>
        <w:t>、</w:t>
      </w:r>
      <w:r>
        <w:rPr>
          <w:rFonts w:hint="eastAsia" w:ascii="Verdana" w:hAnsi="Verdana" w:cs="宋体"/>
          <w:sz w:val="28"/>
          <w:szCs w:val="28"/>
        </w:rPr>
        <w:t>国际私法与反制裁、反“长臂管辖”的实施机制问题研究；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Ansi="Verdana" w:cs="宋体"/>
          <w:sz w:val="28"/>
          <w:szCs w:val="28"/>
        </w:rPr>
        <w:t>75</w:t>
      </w:r>
      <w:r>
        <w:rPr>
          <w:rFonts w:hint="eastAsia" w:hAnsi="Verdana" w:cs="宋体"/>
          <w:sz w:val="28"/>
          <w:szCs w:val="28"/>
        </w:rPr>
        <w:t>、</w:t>
      </w:r>
      <w:r>
        <w:rPr>
          <w:rFonts w:hint="eastAsia" w:ascii="Verdana" w:hAnsi="Verdana" w:cs="宋体"/>
          <w:sz w:val="28"/>
          <w:szCs w:val="28"/>
        </w:rPr>
        <w:t>国际民商事争议预防与解决机制研究。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76、</w:t>
      </w:r>
      <w:bookmarkStart w:id="0" w:name="_Hlk151233109"/>
      <w:r>
        <w:rPr>
          <w:rFonts w:hint="eastAsia" w:ascii="Verdana" w:hAnsi="Verdana" w:cs="宋体"/>
          <w:sz w:val="28"/>
          <w:szCs w:val="28"/>
        </w:rPr>
        <w:t>我国冲突法立法补缺制度研究。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77、我国冲突法立法矫正制度研究。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78、我国冲突法立法不周延问题研究。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79、我国冲突法立法模糊性问题研究。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80、我国冲突法立法局限性问题研究。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81、我国海外利益法律保护研究。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82、《对外关系法》实施研究。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83、《外国国家豁免法》的限制豁免制度研究。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84、涉外法治的内涵研究。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Verdana" w:hAnsi="Verdana" w:cs="宋体"/>
          <w:sz w:val="28"/>
          <w:szCs w:val="28"/>
        </w:rPr>
      </w:pPr>
      <w:r>
        <w:rPr>
          <w:rFonts w:hint="eastAsia" w:ascii="Verdana" w:hAnsi="Verdana" w:cs="宋体"/>
          <w:sz w:val="28"/>
          <w:szCs w:val="28"/>
        </w:rPr>
        <w:t>85、涉外法治和国内法治的统筹研究。</w:t>
      </w:r>
    </w:p>
    <w:bookmarkEnd w:id="0"/>
    <w:p>
      <w:r>
        <w:rPr>
          <w:rFonts w:hint="eastAsia" w:ascii="Verdana" w:hAnsi="Verdana" w:cs="宋体"/>
          <w:b/>
          <w:color w:val="000000"/>
          <w:kern w:val="0"/>
          <w:sz w:val="28"/>
          <w:szCs w:val="28"/>
        </w:rPr>
        <w:t>（以上选题可进一步限定研究范围）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0"/>
      <w:numFmt w:val="decimal"/>
      <w:lvlText w:val=""/>
      <w:lvlJc w:val="left"/>
      <w:pPr>
        <w:ind w:left="0" w:firstLine="0"/>
      </w:p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">
    <w:nsid w:val="2C335EA4"/>
    <w:multiLevelType w:val="multilevel"/>
    <w:tmpl w:val="2C335EA4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312D5ACD"/>
    <w:multiLevelType w:val="multilevel"/>
    <w:tmpl w:val="312D5ACD"/>
    <w:lvl w:ilvl="0" w:tentative="0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D3C"/>
    <w:rsid w:val="001B1024"/>
    <w:rsid w:val="00495D3C"/>
    <w:rsid w:val="00541F03"/>
    <w:rsid w:val="005A2FB6"/>
    <w:rsid w:val="00991D3D"/>
    <w:rsid w:val="4ABC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555</Words>
  <Characters>3166</Characters>
  <Lines>26</Lines>
  <Paragraphs>7</Paragraphs>
  <TotalTime>112</TotalTime>
  <ScaleCrop>false</ScaleCrop>
  <LinksUpToDate>false</LinksUpToDate>
  <CharactersWithSpaces>3714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2022-11-10T08:35:00Z</dcterms:created>
  <dc:creator>七季梧冬面</dc:creator>
  <cp:lastModifiedBy>WPS_1667520925</cp:lastModifiedBy>
  <dcterms:modified xsi:type="dcterms:W3CDTF">2023-11-20T00:43:28Z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9196095FDD3F4730AADF638EF0ECB96A_13</vt:lpwstr>
  </property>
</Properties>
</file>