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4"/>
          <w:szCs w:val="32"/>
        </w:rPr>
      </w:pP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国际</w:t>
      </w:r>
      <w:r>
        <w:rPr>
          <w:rFonts w:hint="eastAsia"/>
          <w:b/>
          <w:bCs/>
          <w:color w:val="auto"/>
          <w:sz w:val="36"/>
          <w:szCs w:val="36"/>
        </w:rPr>
        <w:t>法学毕业论文选题参考（2023届）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leftChars="0" w:right="0" w:rightChars="0"/>
        <w:jc w:val="center"/>
        <w:rPr>
          <w:rFonts w:hint="eastAsia" w:ascii="Verdana" w:hAnsi="Verdana" w:eastAsia="宋体" w:cs="宋体"/>
          <w:b/>
          <w:bCs w:val="0"/>
          <w:color w:val="000000"/>
          <w:kern w:val="0"/>
          <w:sz w:val="32"/>
          <w:szCs w:val="32"/>
          <w:lang w:val="en-US" w:eastAsia="zh-CN" w:bidi="ar"/>
        </w:rPr>
      </w:pPr>
    </w:p>
    <w:p>
      <w:pPr>
        <w:pStyle w:val="2"/>
        <w:bidi w:val="0"/>
        <w:rPr>
          <w:rFonts w:hint="default"/>
          <w:lang w:val="en-US"/>
        </w:rPr>
      </w:pPr>
      <w:r>
        <w:rPr>
          <w:rFonts w:hint="eastAsia"/>
          <w:lang w:val="en-US" w:eastAsia="zh-CN"/>
        </w:rPr>
        <w:t>一、国际公法方向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eastAsia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Calibri" w:hAnsi="Calibri" w:cs="Times New Roman"/>
          <w:sz w:val="28"/>
          <w:szCs w:val="28"/>
          <w:highlight w:val="none"/>
          <w:lang w:val="en-US"/>
        </w:rPr>
        <w:t>论国际组织的表决制度</w:t>
      </w:r>
      <w:r>
        <w:rPr>
          <w:rFonts w:hint="eastAsia" w:cs="Times New Roman"/>
          <w:sz w:val="28"/>
          <w:szCs w:val="28"/>
          <w:highlight w:val="none"/>
          <w:lang w:val="en-US" w:eastAsia="zh-CN"/>
        </w:rPr>
        <w:t xml:space="preserve">  江河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highlight w:val="none"/>
          <w:lang w:val="en-US"/>
        </w:rPr>
      </w:pPr>
      <w:r>
        <w:rPr>
          <w:rFonts w:hint="default" w:ascii="Calibri" w:hAnsi="Calibri" w:cs="Times New Roman"/>
          <w:sz w:val="28"/>
          <w:szCs w:val="28"/>
          <w:highlight w:val="none"/>
          <w:lang w:val="en-US"/>
        </w:rPr>
        <w:t>论国际组织的决策制度</w:t>
      </w:r>
      <w:r>
        <w:rPr>
          <w:rFonts w:hint="eastAsia" w:cs="Times New Roman"/>
          <w:sz w:val="28"/>
          <w:szCs w:val="28"/>
          <w:highlight w:val="none"/>
          <w:lang w:val="en-US" w:eastAsia="zh-CN"/>
        </w:rPr>
        <w:t xml:space="preserve">  江河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highlight w:val="none"/>
          <w:lang w:val="en-US"/>
        </w:rPr>
      </w:pPr>
      <w:r>
        <w:rPr>
          <w:rFonts w:hint="default" w:ascii="Calibri" w:hAnsi="Calibri" w:cs="Times New Roman"/>
          <w:sz w:val="28"/>
          <w:szCs w:val="28"/>
          <w:highlight w:val="none"/>
          <w:lang w:val="en-US"/>
        </w:rPr>
        <w:t>论国际组织的争端解决制度</w:t>
      </w:r>
      <w:r>
        <w:rPr>
          <w:rFonts w:hint="eastAsia" w:cs="Times New Roman"/>
          <w:sz w:val="28"/>
          <w:szCs w:val="28"/>
          <w:highlight w:val="none"/>
          <w:lang w:val="en-US" w:eastAsia="zh-CN"/>
        </w:rPr>
        <w:t xml:space="preserve">  江河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highlight w:val="none"/>
          <w:lang w:val="en-US"/>
        </w:rPr>
      </w:pPr>
      <w:r>
        <w:rPr>
          <w:rFonts w:hint="default" w:ascii="Calibri" w:hAnsi="Calibri" w:cs="Times New Roman"/>
          <w:sz w:val="28"/>
          <w:szCs w:val="28"/>
          <w:highlight w:val="none"/>
          <w:lang w:val="en-US"/>
        </w:rPr>
        <w:t>论国际组织的豁免制度</w:t>
      </w:r>
      <w:r>
        <w:rPr>
          <w:rFonts w:hint="eastAsia" w:cs="Times New Roman"/>
          <w:sz w:val="28"/>
          <w:szCs w:val="28"/>
          <w:highlight w:val="none"/>
          <w:lang w:val="en-US" w:eastAsia="zh-CN"/>
        </w:rPr>
        <w:t xml:space="preserve">  江河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highlight w:val="none"/>
          <w:lang w:val="en-US"/>
        </w:rPr>
      </w:pPr>
      <w:r>
        <w:rPr>
          <w:rFonts w:hint="default" w:ascii="Calibri" w:hAnsi="Calibri" w:cs="Times New Roman"/>
          <w:sz w:val="28"/>
          <w:szCs w:val="28"/>
          <w:highlight w:val="none"/>
          <w:lang w:val="en-US"/>
        </w:rPr>
        <w:t>论国家主权豁免</w:t>
      </w:r>
      <w:r>
        <w:rPr>
          <w:rFonts w:hint="eastAsia" w:cs="Times New Roman"/>
          <w:sz w:val="28"/>
          <w:szCs w:val="28"/>
          <w:highlight w:val="none"/>
          <w:lang w:val="en-US" w:eastAsia="zh-CN"/>
        </w:rPr>
        <w:t xml:space="preserve">  江河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eastAsia" w:cs="Times New Roman"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color w:val="000000"/>
          <w:kern w:val="0"/>
          <w:sz w:val="28"/>
          <w:szCs w:val="28"/>
          <w:highlight w:val="none"/>
          <w:lang w:val="en-US" w:eastAsia="zh-CN" w:bidi="ar"/>
        </w:rPr>
        <w:t>国际刑事法院调查美国在阿富汗战争罪行研究（尹生）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eastAsia" w:cs="Times New Roman"/>
          <w:sz w:val="28"/>
          <w:szCs w:val="28"/>
          <w:highlight w:val="none"/>
          <w:lang w:val="en-US" w:eastAsia="zh-CN"/>
        </w:rPr>
      </w:pPr>
      <w:r>
        <w:rPr>
          <w:rFonts w:hint="eastAsia" w:cs="Times New Roman"/>
          <w:sz w:val="28"/>
          <w:szCs w:val="28"/>
          <w:highlight w:val="none"/>
          <w:lang w:val="en-US" w:eastAsia="zh-CN"/>
        </w:rPr>
        <w:t>俄乌冲突背景下安理会的规则博弈研究</w:t>
      </w:r>
      <w:r>
        <w:rPr>
          <w:rFonts w:hint="eastAsia" w:cs="宋体"/>
          <w:color w:val="000000"/>
          <w:kern w:val="0"/>
          <w:sz w:val="28"/>
          <w:szCs w:val="28"/>
          <w:highlight w:val="none"/>
          <w:lang w:val="en-US" w:eastAsia="zh-CN" w:bidi="ar"/>
        </w:rPr>
        <w:t>（尹生）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eastAsia" w:cs="Times New Roman"/>
          <w:sz w:val="28"/>
          <w:szCs w:val="28"/>
          <w:highlight w:val="none"/>
          <w:lang w:val="en-US" w:eastAsia="zh-CN"/>
        </w:rPr>
      </w:pPr>
      <w:r>
        <w:rPr>
          <w:rFonts w:hint="eastAsia" w:cs="Times New Roman"/>
          <w:sz w:val="28"/>
          <w:szCs w:val="28"/>
          <w:highlight w:val="none"/>
          <w:lang w:val="en-US" w:eastAsia="zh-CN"/>
        </w:rPr>
        <w:t>傀儡政权的国际法律规制研究</w:t>
      </w:r>
      <w:r>
        <w:rPr>
          <w:rFonts w:hint="eastAsia" w:cs="宋体"/>
          <w:color w:val="000000"/>
          <w:kern w:val="0"/>
          <w:sz w:val="28"/>
          <w:szCs w:val="28"/>
          <w:highlight w:val="none"/>
          <w:lang w:val="en-US" w:eastAsia="zh-CN" w:bidi="ar"/>
        </w:rPr>
        <w:t>（尹生）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cs="Times New Roman"/>
          <w:sz w:val="28"/>
          <w:szCs w:val="28"/>
          <w:highlight w:val="none"/>
          <w:lang w:val="en-US" w:eastAsia="zh-CN"/>
        </w:rPr>
      </w:pPr>
      <w:r>
        <w:rPr>
          <w:rFonts w:hint="eastAsia" w:cs="Times New Roman"/>
          <w:sz w:val="28"/>
          <w:szCs w:val="28"/>
          <w:highlight w:val="none"/>
          <w:lang w:val="en-US" w:eastAsia="zh-CN"/>
        </w:rPr>
        <w:t>代理人战争的国际法律规制研究</w:t>
      </w:r>
      <w:r>
        <w:rPr>
          <w:rFonts w:hint="eastAsia" w:cs="宋体"/>
          <w:color w:val="000000"/>
          <w:kern w:val="0"/>
          <w:sz w:val="28"/>
          <w:szCs w:val="28"/>
          <w:highlight w:val="none"/>
          <w:lang w:val="en-US" w:eastAsia="zh-CN" w:bidi="ar"/>
        </w:rPr>
        <w:t>（尹生）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eastAsia" w:cs="Times New Roman"/>
          <w:sz w:val="28"/>
          <w:szCs w:val="28"/>
          <w:highlight w:val="none"/>
          <w:lang w:val="en-US" w:eastAsia="zh-CN"/>
        </w:rPr>
      </w:pPr>
      <w:r>
        <w:rPr>
          <w:rFonts w:hint="eastAsia" w:cs="Times New Roman"/>
          <w:sz w:val="28"/>
          <w:szCs w:val="28"/>
          <w:highlight w:val="none"/>
          <w:lang w:val="en-US" w:eastAsia="zh-CN"/>
        </w:rPr>
        <w:t>美英澳核动力航母与《核不扩散公约》研究</w:t>
      </w:r>
      <w:r>
        <w:rPr>
          <w:rFonts w:hint="eastAsia" w:cs="宋体"/>
          <w:color w:val="000000"/>
          <w:kern w:val="0"/>
          <w:sz w:val="28"/>
          <w:szCs w:val="28"/>
          <w:highlight w:val="none"/>
          <w:lang w:val="en-US" w:eastAsia="zh-CN" w:bidi="ar"/>
        </w:rPr>
        <w:t>（尹生）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eastAsia" w:cs="Times New Roman"/>
          <w:sz w:val="28"/>
          <w:szCs w:val="28"/>
          <w:highlight w:val="none"/>
          <w:lang w:val="en-US" w:eastAsia="zh-CN"/>
        </w:rPr>
      </w:pPr>
      <w:r>
        <w:rPr>
          <w:rFonts w:hint="eastAsia" w:cs="Times New Roman"/>
          <w:sz w:val="28"/>
          <w:szCs w:val="28"/>
          <w:highlight w:val="none"/>
          <w:lang w:val="en-US" w:eastAsia="zh-CN"/>
        </w:rPr>
        <w:t>阿富汗与政府承认制度的新发展</w:t>
      </w:r>
      <w:r>
        <w:rPr>
          <w:rFonts w:hint="eastAsia" w:cs="宋体"/>
          <w:color w:val="000000"/>
          <w:kern w:val="0"/>
          <w:sz w:val="28"/>
          <w:szCs w:val="28"/>
          <w:highlight w:val="none"/>
          <w:lang w:val="en-US" w:eastAsia="zh-CN" w:bidi="ar"/>
        </w:rPr>
        <w:t>（尹生）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cs="Times New Roman"/>
          <w:sz w:val="28"/>
          <w:szCs w:val="28"/>
          <w:highlight w:val="none"/>
          <w:lang w:val="en-US" w:eastAsia="zh-CN"/>
        </w:rPr>
      </w:pPr>
      <w:r>
        <w:rPr>
          <w:rFonts w:hint="eastAsia" w:cs="Times New Roman"/>
          <w:sz w:val="28"/>
          <w:szCs w:val="28"/>
          <w:highlight w:val="none"/>
          <w:lang w:val="en-US" w:eastAsia="zh-CN"/>
        </w:rPr>
        <w:t>代理人战争的合法性研究</w:t>
      </w:r>
      <w:r>
        <w:rPr>
          <w:rFonts w:hint="eastAsia" w:cs="宋体"/>
          <w:color w:val="000000"/>
          <w:kern w:val="0"/>
          <w:sz w:val="28"/>
          <w:szCs w:val="28"/>
          <w:highlight w:val="none"/>
          <w:lang w:val="en-US" w:eastAsia="zh-CN" w:bidi="ar"/>
        </w:rPr>
        <w:t>（尹生）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cs="Times New Roman"/>
          <w:sz w:val="28"/>
          <w:szCs w:val="28"/>
          <w:highlight w:val="none"/>
          <w:lang w:val="en-US" w:eastAsia="zh-CN"/>
        </w:rPr>
      </w:pPr>
      <w:r>
        <w:rPr>
          <w:rFonts w:hint="eastAsia" w:cs="Times New Roman"/>
          <w:sz w:val="28"/>
          <w:szCs w:val="28"/>
          <w:highlight w:val="none"/>
          <w:lang w:val="en-US" w:eastAsia="zh-CN"/>
        </w:rPr>
        <w:t>国际法视野下英国维吾尔特别法庭研究</w:t>
      </w:r>
      <w:r>
        <w:rPr>
          <w:rFonts w:hint="eastAsia" w:cs="宋体"/>
          <w:color w:val="000000"/>
          <w:kern w:val="0"/>
          <w:sz w:val="28"/>
          <w:szCs w:val="28"/>
          <w:highlight w:val="none"/>
          <w:lang w:val="en-US" w:eastAsia="zh-CN" w:bidi="ar"/>
        </w:rPr>
        <w:t>（尹生）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eastAsia" w:cs="Times New Roman"/>
          <w:sz w:val="28"/>
          <w:szCs w:val="28"/>
          <w:highlight w:val="none"/>
          <w:lang w:val="en-US" w:eastAsia="zh-CN"/>
        </w:rPr>
      </w:pPr>
      <w:r>
        <w:rPr>
          <w:rFonts w:hint="eastAsia" w:cs="Times New Roman"/>
          <w:sz w:val="28"/>
          <w:szCs w:val="28"/>
          <w:highlight w:val="none"/>
          <w:lang w:val="en-US" w:eastAsia="zh-CN"/>
        </w:rPr>
        <w:t>美国芯片法案的国际法分析</w:t>
      </w:r>
      <w:r>
        <w:rPr>
          <w:rFonts w:hint="eastAsia" w:cs="宋体"/>
          <w:color w:val="000000"/>
          <w:kern w:val="0"/>
          <w:sz w:val="28"/>
          <w:szCs w:val="28"/>
          <w:highlight w:val="none"/>
          <w:lang w:val="en-US" w:eastAsia="zh-CN" w:bidi="ar"/>
        </w:rPr>
        <w:t>（尹生）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cs="Times New Roman"/>
          <w:sz w:val="28"/>
          <w:szCs w:val="28"/>
          <w:highlight w:val="none"/>
          <w:lang w:val="en-US" w:eastAsia="zh-CN"/>
        </w:rPr>
      </w:pPr>
      <w:r>
        <w:rPr>
          <w:rFonts w:hint="eastAsia" w:cs="Times New Roman"/>
          <w:sz w:val="28"/>
          <w:szCs w:val="28"/>
          <w:highlight w:val="none"/>
          <w:lang w:val="en-US" w:eastAsia="zh-CN"/>
        </w:rPr>
        <w:t>福岛排海的救济路径研究</w:t>
      </w:r>
      <w:r>
        <w:rPr>
          <w:rFonts w:hint="eastAsia" w:cs="宋体"/>
          <w:color w:val="000000"/>
          <w:kern w:val="0"/>
          <w:sz w:val="28"/>
          <w:szCs w:val="28"/>
          <w:highlight w:val="none"/>
          <w:lang w:val="en-US" w:eastAsia="zh-CN" w:bidi="ar"/>
        </w:rPr>
        <w:t>（尹生）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eastAsia" w:cs="Times New Roman"/>
          <w:sz w:val="28"/>
          <w:szCs w:val="28"/>
          <w:highlight w:val="none"/>
          <w:lang w:val="en-US" w:eastAsia="zh-CN"/>
        </w:rPr>
      </w:pPr>
      <w:r>
        <w:rPr>
          <w:rFonts w:hint="eastAsia" w:cs="Times New Roman"/>
          <w:sz w:val="28"/>
          <w:szCs w:val="28"/>
          <w:highlight w:val="none"/>
          <w:lang w:val="en-US" w:eastAsia="zh-CN"/>
        </w:rPr>
        <w:t>俄乌冲突背景下美国《租借法案》的合法性研究</w:t>
      </w:r>
      <w:r>
        <w:rPr>
          <w:rFonts w:hint="eastAsia" w:cs="宋体"/>
          <w:color w:val="000000"/>
          <w:kern w:val="0"/>
          <w:sz w:val="28"/>
          <w:szCs w:val="28"/>
          <w:highlight w:val="none"/>
          <w:lang w:val="en-US" w:eastAsia="zh-CN" w:bidi="ar"/>
        </w:rPr>
        <w:t>（尹生）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eastAsia" w:cs="Times New Roman"/>
          <w:sz w:val="28"/>
          <w:szCs w:val="28"/>
          <w:highlight w:val="none"/>
          <w:lang w:val="en-US" w:eastAsia="zh-CN"/>
        </w:rPr>
      </w:pPr>
      <w:r>
        <w:rPr>
          <w:rFonts w:hint="eastAsia" w:cs="Times New Roman"/>
          <w:sz w:val="28"/>
          <w:szCs w:val="28"/>
          <w:highlight w:val="none"/>
          <w:lang w:val="en-US" w:eastAsia="zh-CN"/>
        </w:rPr>
        <w:t>从俄乌冲突看国际制裁新特点</w:t>
      </w:r>
      <w:r>
        <w:rPr>
          <w:rFonts w:hint="eastAsia" w:cs="宋体"/>
          <w:color w:val="000000"/>
          <w:kern w:val="0"/>
          <w:sz w:val="28"/>
          <w:szCs w:val="28"/>
          <w:highlight w:val="none"/>
          <w:lang w:val="en-US" w:eastAsia="zh-CN" w:bidi="ar"/>
        </w:rPr>
        <w:t>（尹生）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eastAsia" w:cs="Times New Roman"/>
          <w:sz w:val="28"/>
          <w:szCs w:val="28"/>
          <w:highlight w:val="none"/>
          <w:lang w:val="en-US" w:eastAsia="zh-CN"/>
        </w:rPr>
      </w:pPr>
      <w:r>
        <w:rPr>
          <w:rFonts w:hint="eastAsia" w:cs="Times New Roman"/>
          <w:sz w:val="28"/>
          <w:szCs w:val="28"/>
          <w:highlight w:val="none"/>
          <w:lang w:val="en-US" w:eastAsia="zh-CN"/>
        </w:rPr>
        <w:t>侵略罪追诉的现状、问题与对策</w:t>
      </w:r>
      <w:r>
        <w:rPr>
          <w:rFonts w:hint="eastAsia" w:cs="宋体"/>
          <w:color w:val="000000"/>
          <w:kern w:val="0"/>
          <w:sz w:val="28"/>
          <w:szCs w:val="28"/>
          <w:highlight w:val="none"/>
          <w:lang w:val="en-US" w:eastAsia="zh-CN" w:bidi="ar"/>
        </w:rPr>
        <w:t>（尹生）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eastAsia" w:cs="Times New Roman"/>
          <w:sz w:val="28"/>
          <w:szCs w:val="28"/>
          <w:highlight w:val="none"/>
          <w:lang w:val="en-US" w:eastAsia="zh-CN"/>
        </w:rPr>
      </w:pPr>
      <w:r>
        <w:rPr>
          <w:rFonts w:hint="eastAsia" w:cs="Times New Roman"/>
          <w:sz w:val="28"/>
          <w:szCs w:val="28"/>
          <w:highlight w:val="none"/>
          <w:lang w:val="en-US" w:eastAsia="zh-CN"/>
        </w:rPr>
        <w:t>联合国会费问题实证研究</w:t>
      </w:r>
      <w:r>
        <w:rPr>
          <w:rFonts w:hint="eastAsia" w:cs="宋体"/>
          <w:color w:val="000000"/>
          <w:kern w:val="0"/>
          <w:sz w:val="28"/>
          <w:szCs w:val="28"/>
          <w:highlight w:val="none"/>
          <w:lang w:val="en-US" w:eastAsia="zh-CN" w:bidi="ar"/>
        </w:rPr>
        <w:t>（尹生）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eastAsia" w:cs="Times New Roman"/>
          <w:sz w:val="28"/>
          <w:szCs w:val="28"/>
          <w:highlight w:val="none"/>
          <w:lang w:val="en-US" w:eastAsia="zh-CN"/>
        </w:rPr>
      </w:pPr>
      <w:r>
        <w:rPr>
          <w:rFonts w:hint="eastAsia" w:cs="Times New Roman"/>
          <w:sz w:val="28"/>
          <w:szCs w:val="28"/>
          <w:highlight w:val="none"/>
          <w:lang w:val="en-US" w:eastAsia="zh-CN"/>
        </w:rPr>
        <w:t>儿童数字权利研究</w:t>
      </w:r>
      <w:r>
        <w:rPr>
          <w:rFonts w:hint="eastAsia" w:cs="宋体"/>
          <w:color w:val="000000"/>
          <w:kern w:val="0"/>
          <w:sz w:val="28"/>
          <w:szCs w:val="28"/>
          <w:highlight w:val="none"/>
          <w:lang w:val="en-US" w:eastAsia="zh-CN" w:bidi="ar"/>
        </w:rPr>
        <w:t>（尹生）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eastAsia" w:cs="Times New Roman"/>
          <w:sz w:val="28"/>
          <w:szCs w:val="28"/>
          <w:highlight w:val="none"/>
          <w:lang w:val="en-US" w:eastAsia="zh-CN"/>
        </w:rPr>
      </w:pPr>
      <w:r>
        <w:rPr>
          <w:rFonts w:hint="eastAsia" w:cs="Times New Roman"/>
          <w:sz w:val="28"/>
          <w:szCs w:val="28"/>
          <w:highlight w:val="none"/>
          <w:lang w:val="en-US" w:eastAsia="zh-CN"/>
        </w:rPr>
        <w:t>人权法视野下美国宣布紧急状态实践研究</w:t>
      </w:r>
      <w:r>
        <w:rPr>
          <w:rFonts w:hint="eastAsia" w:cs="宋体"/>
          <w:color w:val="000000"/>
          <w:kern w:val="0"/>
          <w:sz w:val="28"/>
          <w:szCs w:val="28"/>
          <w:highlight w:val="none"/>
          <w:lang w:val="en-US" w:eastAsia="zh-CN" w:bidi="ar"/>
        </w:rPr>
        <w:t>（尹生）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eastAsia" w:cs="Times New Roman"/>
          <w:sz w:val="28"/>
          <w:szCs w:val="28"/>
          <w:highlight w:val="none"/>
          <w:lang w:val="en-US" w:eastAsia="zh-CN"/>
        </w:rPr>
      </w:pPr>
      <w:r>
        <w:rPr>
          <w:rFonts w:hint="eastAsia" w:cs="Times New Roman"/>
          <w:sz w:val="28"/>
          <w:szCs w:val="28"/>
          <w:highlight w:val="none"/>
          <w:lang w:val="en-US" w:eastAsia="zh-CN"/>
        </w:rPr>
        <w:t>电竞的国际法律问题研究</w:t>
      </w:r>
      <w:r>
        <w:rPr>
          <w:rFonts w:hint="eastAsia" w:cs="宋体"/>
          <w:color w:val="000000"/>
          <w:kern w:val="0"/>
          <w:sz w:val="28"/>
          <w:szCs w:val="28"/>
          <w:highlight w:val="none"/>
          <w:lang w:val="en-US" w:eastAsia="zh-CN" w:bidi="ar"/>
        </w:rPr>
        <w:t>（尹生）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eastAsia" w:cs="Times New Roman"/>
          <w:sz w:val="28"/>
          <w:szCs w:val="28"/>
          <w:highlight w:val="none"/>
          <w:lang w:val="en-US" w:eastAsia="zh-CN"/>
        </w:rPr>
      </w:pPr>
      <w:r>
        <w:rPr>
          <w:rFonts w:hint="eastAsia" w:cs="Times New Roman"/>
          <w:sz w:val="28"/>
          <w:szCs w:val="28"/>
          <w:highlight w:val="none"/>
          <w:lang w:val="en-US" w:eastAsia="zh-CN"/>
        </w:rPr>
        <w:t>主权国家管辖权的历史演化研究</w:t>
      </w:r>
      <w:r>
        <w:rPr>
          <w:rFonts w:hint="eastAsia" w:cs="宋体"/>
          <w:color w:val="000000"/>
          <w:kern w:val="0"/>
          <w:sz w:val="28"/>
          <w:szCs w:val="28"/>
          <w:highlight w:val="none"/>
          <w:lang w:val="en-US" w:eastAsia="zh-CN" w:bidi="ar"/>
        </w:rPr>
        <w:t>（尹生）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eastAsia" w:cs="Times New Roman"/>
          <w:sz w:val="28"/>
          <w:szCs w:val="28"/>
          <w:highlight w:val="none"/>
          <w:lang w:val="en-US" w:eastAsia="zh-CN"/>
        </w:rPr>
      </w:pPr>
      <w:r>
        <w:rPr>
          <w:rFonts w:hint="eastAsia" w:cs="Times New Roman"/>
          <w:sz w:val="28"/>
          <w:szCs w:val="28"/>
          <w:highlight w:val="none"/>
          <w:lang w:val="en-US" w:eastAsia="zh-CN"/>
        </w:rPr>
        <w:t>国家安全视野下中美间谍罪对比研究</w:t>
      </w:r>
      <w:r>
        <w:rPr>
          <w:rFonts w:hint="eastAsia" w:cs="宋体"/>
          <w:color w:val="000000"/>
          <w:kern w:val="0"/>
          <w:sz w:val="28"/>
          <w:szCs w:val="28"/>
          <w:highlight w:val="none"/>
          <w:lang w:val="en-US" w:eastAsia="zh-CN" w:bidi="ar"/>
        </w:rPr>
        <w:t>（尹生）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highlight w:val="none"/>
          <w:lang w:val="en-US"/>
        </w:rPr>
      </w:pPr>
      <w:r>
        <w:rPr>
          <w:rFonts w:hint="eastAsia" w:cs="Times New Roman"/>
          <w:sz w:val="28"/>
          <w:szCs w:val="28"/>
          <w:highlight w:val="none"/>
          <w:lang w:val="en-US" w:eastAsia="zh-CN"/>
        </w:rPr>
        <w:t>美国制裁背景下的科研自由研究</w:t>
      </w:r>
      <w:r>
        <w:rPr>
          <w:rFonts w:hint="eastAsia" w:cs="宋体"/>
          <w:color w:val="000000"/>
          <w:kern w:val="0"/>
          <w:sz w:val="28"/>
          <w:szCs w:val="28"/>
          <w:highlight w:val="none"/>
          <w:lang w:val="en-US" w:eastAsia="zh-CN" w:bidi="ar"/>
        </w:rPr>
        <w:t>（尹生）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highlight w:val="none"/>
          <w:lang w:val="en-US"/>
        </w:rPr>
      </w:pPr>
      <w:r>
        <w:rPr>
          <w:rFonts w:hint="eastAsia" w:cs="Times New Roman"/>
          <w:sz w:val="28"/>
          <w:szCs w:val="28"/>
          <w:highlight w:val="none"/>
          <w:lang w:val="en-US" w:eastAsia="zh-CN"/>
        </w:rPr>
        <w:t>滴滴在美退市的国际法研究</w:t>
      </w:r>
      <w:r>
        <w:rPr>
          <w:rFonts w:hint="eastAsia" w:cs="宋体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（尹生） 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试论《南极条约》体系的法律效力和南极的法律地位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北极法律地位的新发展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南极法律制度的新发展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外空旅游法的构建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人权条约报告制度新发展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论外空商业化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个人的国际刑事责任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国际法与国际政治的关系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论难民不推回原则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人类命运共同体与中国的国际法实践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网络言论自由的国际法规制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人工智能背景下教育权的重新解读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人工智能背景下工作权的重新解读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杀手机器人或人工智能武器与生命权的保护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美国空天军的合法性研究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沙特裔记者卡舒吉被害案中的国际法问题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试论国际海底区域法律制度及其新变化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论国际法与国际关系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论国际法与国际政治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国际法方法论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国际法价值论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国际法认识论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论国际法的效力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论国际法由弱变强的趋势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论国际法的法律基础与社会基础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论国际法的法律性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论国际法的渊源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论《国际法院规约》第</w:t>
      </w:r>
      <w:r>
        <w:rPr>
          <w:rFonts w:hint="default" w:ascii="Calibri" w:hAnsi="Calibri" w:eastAsia="宋体" w:cs="Times New Roman"/>
          <w:color w:val="000000"/>
          <w:kern w:val="0"/>
          <w:sz w:val="28"/>
          <w:szCs w:val="28"/>
          <w:lang w:val="en-US" w:eastAsia="zh-CN" w:bidi="ar"/>
        </w:rPr>
        <w:t>38</w:t>
      </w: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条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论国际习惯和条约的动静态关系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评国际法与国内法关系的理论与实践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论条约与中国国内法的关系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论国际法与国家主权的保障和限制关系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论新国际经济秩序的国际法基础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论国际法的主体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对个人能否成为国际法主体谈点新看法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评国际法上的承认学说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论国家责任和追究国家责任的方式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论国家的刑事责任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论外国人的法律地位和中国的实践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论国际法上的难民制度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论国际法上引渡制度的新发展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试论国际水法制度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评述国际海洋航行制度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共同开发海洋矿物资源的国际法问题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评析海洋争端解决体制的特点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论海洋法律体制中的内在矛盾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海峡两岸关于空中劫持的法律问题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论外空活动的法律原则与制度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论有关空中劫持条约的主要内容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人权宣言与习惯法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人权宣言与</w:t>
      </w:r>
      <w:r>
        <w:rPr>
          <w:rFonts w:hint="default" w:ascii="Calibri" w:hAnsi="Calibri" w:eastAsia="宋体" w:cs="Times New Roman"/>
          <w:color w:val="000000"/>
          <w:kern w:val="0"/>
          <w:sz w:val="28"/>
          <w:szCs w:val="28"/>
          <w:lang w:val="en-US" w:eastAsia="zh-CN" w:bidi="ar"/>
        </w:rPr>
        <w:t>1966</w:t>
      </w: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年人权两公约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论人权方面国际法与国内法关系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试论人权与司法保障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试论人权与法律监督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冷战后国际人权法的新发展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中国参与国际人权活动的理论与实践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评世界人权宣言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论条约保留制度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试论条约法中的情势变迁原则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论联合国大会决议的法律规范性质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小议联合国安理会的改革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对安理会“双重否决权”的理解与评价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联合国在维持国际和平方面的作用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论联合国集体安全体制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论联合国维和行动的法律性质与基础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论联合国维和行动的法律特征和现今发展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试论区域办法在解决国际争端方面的作用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对国际法院适用分庭程序的评价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论国际法解决争端体制的新动向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论国际司法体制的新发展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评述国际刑事法院体制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论国际刑事法院与国内刑事司法体系的关系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论国家主权与国际法的辩证关系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论人权与国家主权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480" w:leftChars="0" w:right="0" w:rightChars="0"/>
        <w:jc w:val="both"/>
        <w:rPr>
          <w:rFonts w:hint="default" w:ascii="Calibri" w:hAnsi="Calibri" w:cs="Times New Roman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color w:val="000000"/>
          <w:kern w:val="0"/>
          <w:sz w:val="28"/>
          <w:szCs w:val="28"/>
          <w:lang w:val="en-US" w:eastAsia="zh-CN" w:bidi="ar"/>
        </w:rPr>
        <w:t>会员国主权平等与大国“否决权”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spacing w:before="0" w:beforeAutospacing="0" w:after="0" w:afterAutospacing="0" w:line="360" w:lineRule="auto"/>
        <w:ind w:left="420" w:right="0" w:hanging="420"/>
        <w:jc w:val="left"/>
        <w:rPr>
          <w:color w:val="auto"/>
          <w:kern w:val="1"/>
          <w:szCs w:val="21"/>
          <w:lang w:val="en-US"/>
        </w:rPr>
      </w:pPr>
    </w:p>
    <w:p>
      <w:pPr>
        <w:rPr>
          <w:rFonts w:hint="default" w:ascii="Verdana" w:hAnsi="Verdana" w:cs="宋体"/>
          <w:b/>
          <w:bCs w:val="0"/>
          <w:sz w:val="32"/>
          <w:szCs w:val="32"/>
          <w:shd w:val="clear" w:color="auto" w:fill="FFFFFF"/>
          <w:lang w:val="en-US"/>
        </w:rPr>
      </w:pPr>
      <w:r>
        <w:rPr>
          <w:rFonts w:hint="eastAsia" w:ascii="Verdana" w:hAnsi="Verdana" w:eastAsia="宋体" w:cs="宋体"/>
          <w:b/>
          <w:bCs w:val="0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br w:type="page"/>
      </w:r>
    </w:p>
    <w:p>
      <w:pPr>
        <w:pStyle w:val="2"/>
        <w:numPr>
          <w:ilvl w:val="0"/>
          <w:numId w:val="2"/>
        </w:numPr>
        <w:bidi w:val="0"/>
        <w:rPr>
          <w:rFonts w:hint="default"/>
          <w:lang w:val="en-US"/>
        </w:rPr>
      </w:pPr>
      <w:r>
        <w:rPr>
          <w:rFonts w:hint="eastAsia"/>
          <w:lang w:val="en-US" w:eastAsia="zh-CN"/>
        </w:rPr>
        <w:t>二、国际</w:t>
      </w:r>
      <w:bookmarkStart w:id="0" w:name="_GoBack"/>
      <w:bookmarkEnd w:id="0"/>
      <w:r>
        <w:rPr>
          <w:rFonts w:hint="eastAsia"/>
          <w:lang w:val="en-US" w:eastAsia="zh-CN"/>
        </w:rPr>
        <w:t>私法方向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1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、跨国代孕的国际私法问题研究；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2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、同性婚姻的国际私法问题研究；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3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、人权保护对国际私法的影响；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4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、“一带一路”沿线国家民商法律研究</w:t>
      </w: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;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5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、“一带一路”沿线国家民事诉讼法研究；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6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、“一带一路”沿线国家仲裁法研究；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7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、美国商事仲裁法研究；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8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、英仲商事仲裁法研究；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9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、美国国际私法研究；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10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、欧盟国际私法研究；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11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、海牙国际私法会议公约（草案）研究；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12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、被盗文物返还的国际私法问题研究；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13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、知识产权争议解决机制研究；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14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、跨国环境污染争议解决机制研究；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15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、“一带一路”背景下国际争议解决机制的变革；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16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、我国《涉外民事关系法律适用法》实施中的问题研究；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17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、我国涉外民商事司法实践研究；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18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、我国国际商事仲裁制度改革研究；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19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、我国国际民事诉讼制度研究；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20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、外层空间法律体系中国际私法地位与作用研究；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21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、新时代背景下国家及其财产豁免问题研究；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22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、国际商事法庭的建设和机制创新；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23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、国际商事调解法律问题研究；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24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、难民的国际民事法律地位；</w:t>
      </w: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 xml:space="preserve">  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25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、“一带一路”国际民事司法协助；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26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、新时期中国国际私法立法与实践的回顾与展望；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27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、属人法连结点的发展轨迹和趋势；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28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、我国涉外协议管辖制度研究；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29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、外国民商事判决承认和执行问题研究；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30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、外国仲裁裁决承认与执行问题研究；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31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、我国涉外动产物权法律适用问题研究；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32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、涉外夫妻财产关系法律适用问题研究；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33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、我国涉外劳动合同法律适用问题研究；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34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、我国涉外遗嘱继承法律适用问题研究；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35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、涉外侵权法律适用问题研究；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36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、涉外消费者合同法律适用问题研究；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37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、涉外产品责任法律适用问题研究；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38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、我国国际私法中意思自治原则的扩张与限制；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39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、我国国际私法中“直接适用的法”制度研究；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40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、《联合国国际货物销售合同公约》在我国的适用问题研究；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41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、人类命运共同体与中国国际私法的变革；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42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、互联网的国际私法问题研究；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0" w:right="0" w:firstLine="0"/>
        <w:jc w:val="left"/>
        <w:rPr>
          <w:rFonts w:hint="default" w:ascii="Verdana" w:hAnsi="Verdana" w:cs="宋体"/>
          <w:sz w:val="28"/>
          <w:szCs w:val="28"/>
          <w:shd w:val="clear" w:color="auto" w:fill="FFFFFF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43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、大数据的国际私法问题研究；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both"/>
        <w:rPr>
          <w:rFonts w:hint="default" w:ascii="Verdana" w:hAnsi="Verdana" w:cs="宋体"/>
          <w:sz w:val="28"/>
          <w:szCs w:val="28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lang w:val="en-US" w:eastAsia="zh-CN" w:bidi="ar"/>
        </w:rPr>
        <w:t>44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lang w:val="en-US" w:eastAsia="zh-CN" w:bidi="ar"/>
        </w:rPr>
        <w:t>、中国参与全球国际私法立法活动研究；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both"/>
        <w:rPr>
          <w:rFonts w:hint="default" w:ascii="Verdana" w:hAnsi="Verdana" w:cs="宋体"/>
          <w:sz w:val="28"/>
          <w:szCs w:val="28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lang w:val="en-US" w:eastAsia="zh-CN" w:bidi="ar"/>
        </w:rPr>
        <w:t>45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lang w:val="en-US" w:eastAsia="zh-CN" w:bidi="ar"/>
        </w:rPr>
        <w:t>、国际私法上过度管辖权的限制问题研究；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both"/>
        <w:rPr>
          <w:rFonts w:hint="default" w:ascii="Verdana" w:hAnsi="Verdana" w:cs="宋体"/>
          <w:sz w:val="28"/>
          <w:szCs w:val="28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lang w:val="en-US" w:eastAsia="zh-CN" w:bidi="ar"/>
        </w:rPr>
        <w:t>46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lang w:val="en-US" w:eastAsia="zh-CN" w:bidi="ar"/>
        </w:rPr>
        <w:t>、《纽约公约》在我国的实施问题研究；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both"/>
        <w:rPr>
          <w:rFonts w:hint="default" w:ascii="Verdana" w:hAnsi="Verdana" w:cs="宋体"/>
          <w:sz w:val="28"/>
          <w:szCs w:val="28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lang w:val="en-US" w:eastAsia="zh-CN" w:bidi="ar"/>
        </w:rPr>
        <w:t>47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lang w:val="en-US" w:eastAsia="zh-CN" w:bidi="ar"/>
        </w:rPr>
        <w:t>、《海牙取证公约》在我国的实施问题研究；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both"/>
        <w:rPr>
          <w:rFonts w:hint="default" w:ascii="Verdana" w:hAnsi="Verdana" w:cs="宋体"/>
          <w:sz w:val="28"/>
          <w:szCs w:val="28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lang w:val="en-US" w:eastAsia="zh-CN" w:bidi="ar"/>
        </w:rPr>
        <w:t>48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lang w:val="en-US" w:eastAsia="zh-CN" w:bidi="ar"/>
        </w:rPr>
        <w:t>、《海牙送达公约》在我国的实施问题研究；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both"/>
        <w:rPr>
          <w:rFonts w:hint="default" w:ascii="Verdana" w:hAnsi="Verdana" w:cs="宋体"/>
          <w:sz w:val="28"/>
          <w:szCs w:val="28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lang w:val="en-US" w:eastAsia="zh-CN" w:bidi="ar"/>
        </w:rPr>
        <w:t>49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lang w:val="en-US" w:eastAsia="zh-CN" w:bidi="ar"/>
        </w:rPr>
        <w:t>、全球治理的国际私法问题研究；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both"/>
        <w:rPr>
          <w:rFonts w:hint="default" w:ascii="Verdana" w:hAnsi="Verdana" w:cs="宋体"/>
          <w:sz w:val="28"/>
          <w:szCs w:val="28"/>
          <w:highlight w:val="none"/>
          <w:lang w:val="en-US"/>
        </w:rPr>
      </w:pPr>
      <w:r>
        <w:rPr>
          <w:rFonts w:hint="default" w:ascii="Verdana" w:hAnsi="Verdana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50</w:t>
      </w:r>
      <w:r>
        <w:rPr>
          <w:rFonts w:hint="eastAsia" w:ascii="Verdana" w:hAnsi="Verdana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、我国区际国际私法问题研究；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both"/>
        <w:rPr>
          <w:rFonts w:hint="default" w:ascii="Verdana" w:hAnsi="Verdana" w:cs="宋体"/>
          <w:sz w:val="28"/>
          <w:szCs w:val="28"/>
          <w:highlight w:val="none"/>
          <w:lang w:val="en-US"/>
        </w:rPr>
      </w:pPr>
      <w:r>
        <w:rPr>
          <w:rFonts w:hint="eastAsia" w:ascii="Verdana" w:hAnsi="Verdana" w:cs="宋体"/>
          <w:color w:val="000000"/>
          <w:kern w:val="0"/>
          <w:sz w:val="28"/>
          <w:szCs w:val="28"/>
          <w:highlight w:val="none"/>
          <w:lang w:val="en-US" w:eastAsia="zh-CN" w:bidi="ar"/>
        </w:rPr>
        <w:t>51、《新加坡公约》的适用问题研究；黄志慧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both"/>
        <w:rPr>
          <w:rFonts w:hint="default" w:ascii="Verdana" w:hAnsi="Verdana" w:cs="宋体"/>
          <w:sz w:val="28"/>
          <w:szCs w:val="28"/>
          <w:highlight w:val="none"/>
          <w:lang w:val="en-US"/>
        </w:rPr>
      </w:pPr>
      <w:r>
        <w:rPr>
          <w:rFonts w:hint="eastAsia" w:ascii="Verdana" w:hAnsi="Verdana" w:cs="宋体"/>
          <w:color w:val="000000"/>
          <w:kern w:val="0"/>
          <w:sz w:val="28"/>
          <w:szCs w:val="28"/>
          <w:highlight w:val="none"/>
          <w:lang w:val="en-US" w:eastAsia="zh-CN" w:bidi="ar"/>
        </w:rPr>
        <w:t>52、跨国阻断追偿诉讼的法律问题研究；黄志慧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both"/>
        <w:rPr>
          <w:rFonts w:hint="default" w:ascii="Verdana" w:hAnsi="Verdana" w:cs="宋体"/>
          <w:sz w:val="28"/>
          <w:szCs w:val="28"/>
          <w:highlight w:val="none"/>
          <w:lang w:val="en-US"/>
        </w:rPr>
      </w:pPr>
      <w:r>
        <w:rPr>
          <w:rFonts w:hint="eastAsia" w:ascii="Verdana" w:hAnsi="Verdana" w:cs="宋体"/>
          <w:color w:val="000000"/>
          <w:kern w:val="0"/>
          <w:sz w:val="28"/>
          <w:szCs w:val="28"/>
          <w:highlight w:val="none"/>
          <w:lang w:val="en-US" w:eastAsia="zh-CN" w:bidi="ar"/>
        </w:rPr>
        <w:t>53、境外民事诉讼追赃的法律问题研究；黄志慧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both"/>
        <w:rPr>
          <w:rFonts w:hint="default" w:ascii="Verdana" w:hAnsi="Verdana" w:cs="宋体"/>
          <w:sz w:val="28"/>
          <w:szCs w:val="28"/>
          <w:highlight w:val="none"/>
          <w:lang w:val="en-US"/>
        </w:rPr>
      </w:pPr>
      <w:r>
        <w:rPr>
          <w:rFonts w:hint="eastAsia" w:ascii="Verdana" w:hAnsi="Verdana" w:cs="宋体"/>
          <w:color w:val="000000"/>
          <w:kern w:val="0"/>
          <w:sz w:val="28"/>
          <w:szCs w:val="28"/>
          <w:highlight w:val="none"/>
          <w:lang w:val="en-US" w:eastAsia="zh-CN" w:bidi="ar"/>
        </w:rPr>
        <w:t>54、国际商事争议预防的法律问题研究；黄志慧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both"/>
        <w:rPr>
          <w:rFonts w:hint="default" w:ascii="Verdana" w:hAnsi="Verdana" w:cs="宋体"/>
          <w:sz w:val="28"/>
          <w:szCs w:val="28"/>
          <w:highlight w:val="none"/>
          <w:lang w:val="en-US"/>
        </w:rPr>
      </w:pPr>
      <w:r>
        <w:rPr>
          <w:rFonts w:hint="eastAsia" w:ascii="Verdana" w:hAnsi="Verdana" w:cs="宋体"/>
          <w:color w:val="000000"/>
          <w:kern w:val="0"/>
          <w:sz w:val="28"/>
          <w:szCs w:val="28"/>
          <w:highlight w:val="none"/>
          <w:lang w:val="en-US" w:eastAsia="zh-CN" w:bidi="ar"/>
        </w:rPr>
        <w:t>55、国际民事诉讼中的禁诉令研究。黄志慧</w:t>
      </w:r>
    </w:p>
    <w:p>
      <w:r>
        <w:rPr>
          <w:rFonts w:hint="eastAsia" w:ascii="Verdana" w:hAnsi="Verdana" w:eastAsia="宋体" w:cs="宋体"/>
          <w:b/>
          <w:bCs w:val="0"/>
          <w:color w:val="000000"/>
          <w:kern w:val="0"/>
          <w:sz w:val="28"/>
          <w:szCs w:val="28"/>
          <w:lang w:val="en-US" w:eastAsia="zh-CN" w:bidi="ar"/>
        </w:rPr>
        <w:t>（以上选题可进一步限定研究范围）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B376E8"/>
    <w:multiLevelType w:val="singleLevel"/>
    <w:tmpl w:val="E7B376E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77F16AAD"/>
    <w:multiLevelType w:val="multilevel"/>
    <w:tmpl w:val="77F16AAD"/>
    <w:lvl w:ilvl="0" w:tentative="0">
      <w:start w:val="0"/>
      <w:numFmt w:val="decimal"/>
      <w:lvlText w:val=""/>
      <w:lvlJc w:val="left"/>
      <w:pPr>
        <w:ind w:left="0" w:firstLine="0"/>
      </w:p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jMzc5Yzk2N2IyZjg5YmJkYmI4MjIyMTFmNzZjZDkifQ=="/>
  </w:docVars>
  <w:rsids>
    <w:rsidRoot w:val="00000000"/>
    <w:rsid w:val="008501AD"/>
    <w:rsid w:val="15DB50E4"/>
    <w:rsid w:val="193D3D1B"/>
    <w:rsid w:val="31695FBF"/>
    <w:rsid w:val="5DA71EF5"/>
    <w:rsid w:val="6EEF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2399</Words>
  <Characters>2452</Characters>
  <Lines>0</Lines>
  <Paragraphs>0</Paragraphs>
  <TotalTime>0</TotalTime>
  <ScaleCrop>false</ScaleCrop>
  <LinksUpToDate>false</LinksUpToDate>
  <CharactersWithSpaces>2465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2022-11-10T08:35:00Z</dcterms:created>
  <dc:creator>七季梧冬面</dc:creator>
  <cp:lastModifiedBy>WPS_1667520925</cp:lastModifiedBy>
  <dcterms:modified xsi:type="dcterms:W3CDTF">2022-11-17T08:32:21Z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BD1146EC6A59451DA4E489968E0B451A</vt:lpwstr>
  </property>
</Properties>
</file>