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经济</w:t>
      </w:r>
      <w:r>
        <w:rPr>
          <w:rFonts w:hint="eastAsia"/>
          <w:b/>
          <w:bCs/>
          <w:color w:val="auto"/>
          <w:sz w:val="36"/>
          <w:szCs w:val="36"/>
        </w:rPr>
        <w:t>法学毕业论文选题参考（2023届）</w:t>
      </w:r>
    </w:p>
    <w:p>
      <w:pPr>
        <w:pStyle w:val="2"/>
        <w:bidi w:val="0"/>
      </w:pPr>
      <w:r>
        <w:rPr>
          <w:rFonts w:hint="eastAsia"/>
        </w:rPr>
        <w:t>一、经济法基础理论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、论经济法的本质与边界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、经济法的研究方法之我见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、“经济法”是一个新的独立法律部门抑或一种新的法学思潮？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、“新常态”背景下经济法理念之我见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、再论经济法的体系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、经济法学的回顾与展望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、可持续发展战略与经济法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、循环经济与经济法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、“黑色经济”现象的经济法思考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10</w:t>
      </w:r>
      <w:r>
        <w:rPr>
          <w:rFonts w:hint="eastAsia" w:ascii="Times New Roman" w:hAnsi="Times New Roman" w:cs="宋体"/>
          <w:kern w:val="1"/>
          <w:szCs w:val="21"/>
        </w:rPr>
        <w:t>、“权力经济”现象的经济法思考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11</w:t>
      </w:r>
      <w:r>
        <w:rPr>
          <w:rFonts w:hint="eastAsia" w:ascii="Times New Roman" w:hAnsi="Times New Roman" w:cs="宋体"/>
          <w:kern w:val="1"/>
          <w:szCs w:val="21"/>
        </w:rPr>
        <w:t>、“审计风暴”的经济法思考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12</w:t>
      </w:r>
      <w:r>
        <w:rPr>
          <w:rFonts w:hint="eastAsia" w:ascii="Times New Roman" w:hAnsi="Times New Roman" w:cs="宋体"/>
          <w:kern w:val="1"/>
          <w:szCs w:val="21"/>
        </w:rPr>
        <w:t>、“眼球经济”现象的经济法思考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13</w:t>
      </w:r>
      <w:r>
        <w:rPr>
          <w:rFonts w:hint="eastAsia" w:ascii="Times New Roman" w:hAnsi="Times New Roman" w:cs="宋体"/>
          <w:kern w:val="1"/>
          <w:szCs w:val="21"/>
        </w:rPr>
        <w:t>、“破坏经济”现象的经济法思考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14</w:t>
      </w:r>
      <w:r>
        <w:rPr>
          <w:rFonts w:hint="eastAsia" w:ascii="Times New Roman" w:hAnsi="Times New Roman" w:cs="宋体"/>
          <w:kern w:val="1"/>
          <w:szCs w:val="21"/>
        </w:rPr>
        <w:t>、区域经济发展的经济法思考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（区域经济发展可细分西部开发、中部崛起、振兴东北老工业基地、东部开放战略等）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15</w:t>
      </w:r>
      <w:r>
        <w:rPr>
          <w:rFonts w:hint="eastAsia" w:ascii="Times New Roman" w:hAnsi="Times New Roman" w:cs="宋体"/>
          <w:kern w:val="1"/>
          <w:szCs w:val="21"/>
        </w:rPr>
        <w:t>、和谐社会的构建与经济法的使命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16</w:t>
      </w:r>
      <w:r>
        <w:rPr>
          <w:rFonts w:hint="eastAsia" w:ascii="Times New Roman" w:hAnsi="Times New Roman" w:cs="宋体"/>
          <w:kern w:val="1"/>
          <w:szCs w:val="21"/>
        </w:rPr>
        <w:t>、我国自贸区（港）制度研究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17</w:t>
      </w:r>
      <w:r>
        <w:rPr>
          <w:rFonts w:hint="eastAsia" w:ascii="Times New Roman" w:hAnsi="Times New Roman" w:cs="宋体"/>
          <w:kern w:val="1"/>
          <w:szCs w:val="21"/>
        </w:rPr>
        <w:t>、论经济法的市场经济基础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18</w:t>
      </w:r>
      <w:r>
        <w:rPr>
          <w:rFonts w:hint="eastAsia" w:ascii="Times New Roman" w:hAnsi="Times New Roman" w:cs="宋体"/>
          <w:kern w:val="1"/>
          <w:szCs w:val="21"/>
        </w:rPr>
        <w:t>、论经济法的宗旨与价值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19</w:t>
      </w:r>
      <w:r>
        <w:rPr>
          <w:rFonts w:hint="eastAsia" w:ascii="Times New Roman" w:hAnsi="Times New Roman" w:cs="宋体"/>
          <w:kern w:val="1"/>
          <w:szCs w:val="21"/>
        </w:rPr>
        <w:t>、试论经济法理念中的国家（或政府）干预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20</w:t>
      </w:r>
      <w:r>
        <w:rPr>
          <w:rFonts w:hint="eastAsia" w:ascii="Times New Roman" w:hAnsi="Times New Roman" w:cs="宋体"/>
          <w:kern w:val="1"/>
          <w:szCs w:val="21"/>
        </w:rPr>
        <w:t>、试论经济法的表现形式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21</w:t>
      </w:r>
      <w:r>
        <w:rPr>
          <w:rFonts w:hint="eastAsia" w:ascii="Times New Roman" w:hAnsi="Times New Roman" w:cs="宋体"/>
          <w:kern w:val="1"/>
          <w:szCs w:val="21"/>
        </w:rPr>
        <w:t>、试论经济法的实施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22</w:t>
      </w:r>
      <w:r>
        <w:rPr>
          <w:rFonts w:hint="eastAsia" w:ascii="Times New Roman" w:hAnsi="Times New Roman" w:cs="宋体"/>
          <w:kern w:val="1"/>
          <w:szCs w:val="21"/>
        </w:rPr>
        <w:t>、试论行政问责与经济法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23</w:t>
      </w:r>
      <w:r>
        <w:rPr>
          <w:rFonts w:hint="eastAsia" w:ascii="Times New Roman" w:hAnsi="Times New Roman" w:cs="宋体"/>
          <w:kern w:val="1"/>
          <w:szCs w:val="21"/>
        </w:rPr>
        <w:t>、试论经济政策与经济法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24</w:t>
      </w:r>
      <w:r>
        <w:rPr>
          <w:rFonts w:hint="eastAsia" w:ascii="Times New Roman" w:hAnsi="Times New Roman" w:cs="宋体"/>
          <w:kern w:val="1"/>
          <w:szCs w:val="21"/>
        </w:rPr>
        <w:t>、试论经济法的可诉性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25</w:t>
      </w:r>
      <w:r>
        <w:rPr>
          <w:rFonts w:hint="eastAsia" w:ascii="Times New Roman" w:hAnsi="Times New Roman" w:cs="宋体"/>
          <w:kern w:val="1"/>
          <w:szCs w:val="21"/>
        </w:rPr>
        <w:t>、再论经济法责任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26</w:t>
      </w:r>
      <w:r>
        <w:rPr>
          <w:rFonts w:hint="eastAsia" w:ascii="Times New Roman" w:hAnsi="Times New Roman" w:cs="宋体"/>
          <w:kern w:val="1"/>
          <w:szCs w:val="21"/>
        </w:rPr>
        <w:t>、经济法主体制度研究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27</w:t>
      </w:r>
      <w:r>
        <w:rPr>
          <w:rFonts w:hint="eastAsia" w:ascii="Times New Roman" w:hAnsi="Times New Roman" w:cs="宋体"/>
          <w:kern w:val="1"/>
          <w:szCs w:val="21"/>
        </w:rPr>
        <w:t>、政府“大部制”改革研究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28</w:t>
      </w:r>
      <w:r>
        <w:rPr>
          <w:rFonts w:hint="eastAsia" w:ascii="Times New Roman" w:hAnsi="Times New Roman" w:cs="宋体"/>
          <w:kern w:val="1"/>
          <w:szCs w:val="21"/>
        </w:rPr>
        <w:t>、公有制经济成份与经济法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29</w:t>
      </w:r>
      <w:r>
        <w:rPr>
          <w:rFonts w:hint="eastAsia" w:ascii="Times New Roman" w:hAnsi="Times New Roman" w:cs="宋体"/>
          <w:kern w:val="1"/>
          <w:szCs w:val="21"/>
        </w:rPr>
        <w:t>、试论经济法实施中行政执法制度的完善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30</w:t>
      </w:r>
      <w:r>
        <w:rPr>
          <w:rFonts w:hint="eastAsia" w:ascii="Times New Roman" w:hAnsi="Times New Roman" w:cs="宋体"/>
          <w:kern w:val="1"/>
          <w:szCs w:val="21"/>
        </w:rPr>
        <w:t>、关于行业立法的经济法思考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31</w:t>
      </w:r>
      <w:r>
        <w:rPr>
          <w:rFonts w:hint="eastAsia" w:ascii="Times New Roman" w:hAnsi="Times New Roman" w:cs="宋体"/>
          <w:kern w:val="1"/>
          <w:szCs w:val="21"/>
        </w:rPr>
        <w:t>、自由贸易港改革与经济法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32</w:t>
      </w:r>
      <w:r>
        <w:rPr>
          <w:rFonts w:hint="eastAsia" w:ascii="Times New Roman" w:hAnsi="Times New Roman" w:cs="宋体"/>
          <w:kern w:val="1"/>
          <w:szCs w:val="21"/>
        </w:rPr>
        <w:t>、经济法视野中社会中间层主体研究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33</w:t>
      </w:r>
      <w:r>
        <w:rPr>
          <w:rFonts w:hint="eastAsia" w:ascii="Times New Roman" w:hAnsi="Times New Roman" w:cs="宋体"/>
          <w:kern w:val="1"/>
          <w:szCs w:val="21"/>
        </w:rPr>
        <w:t>、市场规制法若干理论问题的思考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34</w:t>
      </w:r>
      <w:r>
        <w:rPr>
          <w:rFonts w:hint="eastAsia" w:ascii="Times New Roman" w:hAnsi="Times New Roman" w:cs="宋体"/>
          <w:kern w:val="1"/>
          <w:szCs w:val="21"/>
        </w:rPr>
        <w:t>、宏观调控法若干理论问题的思考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35</w:t>
      </w:r>
      <w:r>
        <w:rPr>
          <w:rFonts w:hint="eastAsia" w:ascii="Times New Roman" w:hAnsi="Times New Roman" w:cs="宋体"/>
          <w:kern w:val="1"/>
          <w:szCs w:val="21"/>
        </w:rPr>
        <w:t>、经济法前沿理论问题的思考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36</w:t>
      </w:r>
      <w:r>
        <w:rPr>
          <w:rFonts w:hint="eastAsia" w:ascii="Times New Roman" w:hAnsi="Times New Roman" w:cs="宋体"/>
          <w:kern w:val="1"/>
          <w:szCs w:val="21"/>
        </w:rPr>
        <w:t>、消费者公益诉讼的经济法思考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37</w:t>
      </w:r>
      <w:r>
        <w:rPr>
          <w:rFonts w:hint="eastAsia" w:ascii="Times New Roman" w:hAnsi="Times New Roman" w:cs="宋体"/>
          <w:kern w:val="1"/>
          <w:szCs w:val="21"/>
        </w:rPr>
        <w:t>、制定《经济法纲要》的一些思考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38</w:t>
      </w:r>
      <w:r>
        <w:rPr>
          <w:rFonts w:hint="eastAsia" w:ascii="Times New Roman" w:hAnsi="Times New Roman" w:cs="宋体"/>
          <w:kern w:val="1"/>
          <w:szCs w:val="21"/>
        </w:rPr>
        <w:t>、经济安全的经济法保障机制研究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39</w:t>
      </w:r>
      <w:r>
        <w:rPr>
          <w:rFonts w:hint="eastAsia" w:ascii="Times New Roman" w:hAnsi="Times New Roman" w:cs="宋体"/>
          <w:kern w:val="1"/>
          <w:szCs w:val="21"/>
        </w:rPr>
        <w:t>、中央政府与地方政府关系的法治化研究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40</w:t>
      </w:r>
      <w:r>
        <w:rPr>
          <w:rFonts w:hint="eastAsia" w:ascii="Times New Roman" w:hAnsi="Times New Roman" w:cs="宋体"/>
          <w:kern w:val="1"/>
          <w:szCs w:val="21"/>
        </w:rPr>
        <w:t>、共同富裕背景下社会分配行为的法律透视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41</w:t>
      </w:r>
      <w:r>
        <w:rPr>
          <w:rFonts w:hint="eastAsia" w:ascii="Times New Roman" w:hAnsi="Times New Roman" w:cs="宋体"/>
          <w:kern w:val="1"/>
          <w:szCs w:val="21"/>
        </w:rPr>
        <w:t>、</w:t>
      </w:r>
      <w:r>
        <w:rPr>
          <w:rFonts w:ascii="Times New Roman" w:hAnsi="Times New Roman"/>
          <w:kern w:val="1"/>
          <w:szCs w:val="21"/>
        </w:rPr>
        <w:t>“</w:t>
      </w:r>
      <w:r>
        <w:rPr>
          <w:rFonts w:hint="eastAsia" w:ascii="Times New Roman" w:hAnsi="Times New Roman" w:cs="宋体"/>
          <w:kern w:val="1"/>
          <w:szCs w:val="21"/>
        </w:rPr>
        <w:t>三农</w:t>
      </w:r>
      <w:r>
        <w:rPr>
          <w:rFonts w:ascii="Times New Roman" w:hAnsi="Times New Roman"/>
          <w:kern w:val="1"/>
          <w:szCs w:val="21"/>
        </w:rPr>
        <w:t>”</w:t>
      </w:r>
      <w:r>
        <w:rPr>
          <w:rFonts w:hint="eastAsia" w:ascii="Times New Roman" w:hAnsi="Times New Roman" w:cs="宋体"/>
          <w:kern w:val="1"/>
          <w:szCs w:val="21"/>
        </w:rPr>
        <w:t>问题的经济法对策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、论经济补偿金法律制度的完善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、社会团体的经济法研究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44</w:t>
      </w:r>
      <w:r>
        <w:rPr>
          <w:rFonts w:hint="eastAsia" w:ascii="Times New Roman" w:hAnsi="Times New Roman" w:cs="宋体"/>
          <w:kern w:val="1"/>
          <w:szCs w:val="21"/>
        </w:rPr>
        <w:t>、要素市场化的经济法思考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、建立全国统一大市场的经济法思考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、“地摊经济”的经济法思考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、市场准入法初探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、关于市场准入负面清单的法律思考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、高质量（绿色）发展的经济法思考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</w:p>
    <w:p>
      <w:pPr>
        <w:pStyle w:val="2"/>
        <w:bidi w:val="0"/>
      </w:pPr>
      <w:r>
        <w:rPr>
          <w:rFonts w:hint="eastAsia"/>
        </w:rPr>
        <w:t>二、市场规制法</w:t>
      </w:r>
    </w:p>
    <w:p>
      <w:pPr>
        <w:spacing w:line="360" w:lineRule="auto"/>
        <w:jc w:val="left"/>
        <w:rPr>
          <w:rFonts w:ascii="黑体" w:hAnsi="黑体" w:eastAsia="黑体"/>
          <w:b/>
          <w:bCs/>
          <w:kern w:val="1"/>
          <w:szCs w:val="21"/>
        </w:rPr>
      </w:pPr>
      <w:r>
        <w:rPr>
          <w:rFonts w:hint="eastAsia" w:ascii="黑体" w:hAnsi="黑体" w:eastAsia="黑体"/>
          <w:b/>
          <w:bCs/>
          <w:kern w:val="1"/>
          <w:szCs w:val="21"/>
        </w:rPr>
        <w:t>（一）竞争法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1、新《反不正当竞争法》修订的得与失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2、反不正当竞争法中的“一般条款”研究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3、不正当竞争行为的法律认定——兼论不正当竞争行为的类型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、不正当竞争行为的商业道德解读——兼论不正当竞争的本质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5、商业混淆行为及其法律规制——从一个实案说起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6、商业误导行为及其法律规制——从一个实案说起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7、商业贿赂行为及其法律规制——从一个实案说起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8、商业诋毁行为及其法律规制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从一个实案说起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9、商业促销行为及其法律规制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兼评《零售商促销行为管理办法》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、反不正当竞争法与知识产权保护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、论商业秘密的竞争法保护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12</w:t>
      </w:r>
      <w:r>
        <w:rPr>
          <w:rFonts w:hint="eastAsia" w:ascii="Times New Roman" w:hAnsi="Times New Roman" w:cs="宋体"/>
          <w:kern w:val="1"/>
          <w:szCs w:val="21"/>
        </w:rPr>
        <w:t>、商业广告的法律规制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多角度思考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</w:t>
      </w:r>
      <w:r>
        <w:rPr>
          <w:rFonts w:hint="eastAsia"/>
          <w:kern w:val="1"/>
          <w:szCs w:val="21"/>
        </w:rPr>
        <w:t>互联网不正当竞争行为的界定与分类研究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、论反垄断法的域外适用效力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15</w:t>
      </w:r>
      <w:r>
        <w:rPr>
          <w:rFonts w:hint="eastAsia" w:ascii="Times New Roman" w:hAnsi="Times New Roman" w:cs="宋体"/>
          <w:kern w:val="1"/>
          <w:szCs w:val="21"/>
        </w:rPr>
        <w:t>、关于我国电信行业改革与发展的竞争法思考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、我国传媒行业的垄断现象与法律规制——以中央电视台为例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、我国汽车行业的垄断现象与法律规制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、关于协议垄断控制制度之法律研究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、试论协议垄断之协同行为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、关于行业协会行为的反垄断法规制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是自律还是垄断？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21</w:t>
      </w:r>
      <w:r>
        <w:rPr>
          <w:rFonts w:hint="eastAsia" w:ascii="Times New Roman" w:hAnsi="Times New Roman" w:cs="宋体"/>
          <w:kern w:val="1"/>
          <w:szCs w:val="21"/>
        </w:rPr>
        <w:t>、关于协议垄断豁免制度之法律研究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、关于协议垄断宽容条款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《反垄断法》第</w:t>
      </w:r>
      <w:r>
        <w:rPr>
          <w:rFonts w:ascii="Times New Roman" w:hAnsi="Times New Roman"/>
          <w:kern w:val="1"/>
          <w:szCs w:val="21"/>
        </w:rPr>
        <w:t>46</w:t>
      </w:r>
      <w:r>
        <w:rPr>
          <w:rFonts w:hint="eastAsia" w:ascii="Times New Roman" w:hAnsi="Times New Roman" w:cs="宋体"/>
          <w:kern w:val="1"/>
          <w:szCs w:val="21"/>
        </w:rPr>
        <w:t>条第二款的法律适用与思考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、关于滥用市场支配地位控制制度之法律研究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、关于反垄断法中市场支配地位的认定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从某个个案说起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、关于反垄断法中相关市场的界定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从某个个案说起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26</w:t>
      </w:r>
      <w:r>
        <w:rPr>
          <w:rFonts w:hint="eastAsia" w:ascii="Times New Roman" w:hAnsi="Times New Roman" w:cs="宋体"/>
          <w:kern w:val="1"/>
          <w:szCs w:val="21"/>
        </w:rPr>
        <w:t>、关于国家垄断行业经营者行为的反垄断法规制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、关于滥用知识产权行为的反垄断法规制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28</w:t>
      </w:r>
      <w:r>
        <w:rPr>
          <w:rFonts w:hint="eastAsia" w:ascii="Times New Roman" w:hAnsi="Times New Roman" w:cs="宋体"/>
          <w:kern w:val="1"/>
          <w:szCs w:val="21"/>
        </w:rPr>
        <w:t>、标准必要专利的反垄断法规制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29</w:t>
      </w:r>
      <w:r>
        <w:rPr>
          <w:rFonts w:hint="eastAsia" w:ascii="Times New Roman" w:hAnsi="Times New Roman" w:cs="宋体"/>
          <w:kern w:val="1"/>
          <w:szCs w:val="21"/>
        </w:rPr>
        <w:t>、搭售行为的反垄断法规制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、经营者滥用市场支配地位行为的类型研究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31</w:t>
      </w:r>
      <w:r>
        <w:rPr>
          <w:rFonts w:hint="eastAsia" w:ascii="Times New Roman" w:hAnsi="Times New Roman" w:cs="宋体"/>
          <w:kern w:val="1"/>
          <w:szCs w:val="21"/>
        </w:rPr>
        <w:t>、低价销售行为的法律规制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多角度思考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32</w:t>
      </w:r>
      <w:r>
        <w:rPr>
          <w:rFonts w:hint="eastAsia" w:ascii="Times New Roman" w:hAnsi="Times New Roman" w:cs="宋体"/>
          <w:kern w:val="1"/>
          <w:szCs w:val="21"/>
        </w:rPr>
        <w:t>、关于经营者集中控制制度之法律研究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33</w:t>
      </w:r>
      <w:r>
        <w:rPr>
          <w:rFonts w:hint="eastAsia" w:ascii="Times New Roman" w:hAnsi="Times New Roman" w:cs="宋体"/>
          <w:kern w:val="1"/>
          <w:szCs w:val="21"/>
        </w:rPr>
        <w:t>、经营者集中申报制度研究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34</w:t>
      </w:r>
      <w:r>
        <w:rPr>
          <w:rFonts w:hint="eastAsia" w:ascii="Times New Roman" w:hAnsi="Times New Roman" w:cs="宋体"/>
          <w:kern w:val="1"/>
          <w:szCs w:val="21"/>
        </w:rPr>
        <w:t>、经营者集中审查的实质标准研究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35</w:t>
      </w:r>
      <w:r>
        <w:rPr>
          <w:rFonts w:hint="eastAsia" w:ascii="Times New Roman" w:hAnsi="Times New Roman" w:cs="宋体"/>
          <w:kern w:val="1"/>
          <w:szCs w:val="21"/>
        </w:rPr>
        <w:t>、外资并购国内企业的法律规制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36</w:t>
      </w:r>
      <w:r>
        <w:rPr>
          <w:rFonts w:hint="eastAsia" w:ascii="Times New Roman" w:hAnsi="Times New Roman" w:cs="宋体"/>
          <w:kern w:val="1"/>
          <w:szCs w:val="21"/>
        </w:rPr>
        <w:t>、经营者集中行为的类型研究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37</w:t>
      </w:r>
      <w:r>
        <w:rPr>
          <w:rFonts w:hint="eastAsia" w:ascii="Times New Roman" w:hAnsi="Times New Roman" w:cs="宋体"/>
          <w:kern w:val="1"/>
          <w:szCs w:val="21"/>
        </w:rPr>
        <w:t>、关于我国经营者集中审查制度的法律实践与完善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38</w:t>
      </w:r>
      <w:r>
        <w:rPr>
          <w:rFonts w:hint="eastAsia" w:ascii="Times New Roman" w:hAnsi="Times New Roman" w:cs="宋体"/>
          <w:kern w:val="1"/>
          <w:szCs w:val="21"/>
        </w:rPr>
        <w:t>、关于经营者集中法律救济制度的适用与思考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39</w:t>
      </w:r>
      <w:r>
        <w:rPr>
          <w:rFonts w:hint="eastAsia" w:ascii="Times New Roman" w:hAnsi="Times New Roman" w:cs="宋体"/>
          <w:kern w:val="1"/>
          <w:szCs w:val="21"/>
        </w:rPr>
        <w:t>、关于行政垄断控制制度之法律研究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、关于经营者承诺制度的法律适用与思考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41</w:t>
      </w:r>
      <w:r>
        <w:rPr>
          <w:rFonts w:hint="eastAsia" w:ascii="Times New Roman" w:hAnsi="Times New Roman" w:cs="宋体"/>
          <w:kern w:val="1"/>
          <w:szCs w:val="21"/>
        </w:rPr>
        <w:t>、行政垄断的法律责任研究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42</w:t>
      </w:r>
      <w:r>
        <w:rPr>
          <w:rFonts w:hint="eastAsia" w:ascii="Times New Roman" w:hAnsi="Times New Roman" w:cs="宋体"/>
          <w:kern w:val="1"/>
          <w:szCs w:val="21"/>
        </w:rPr>
        <w:t>、行政垄断行为的类型研究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43</w:t>
      </w:r>
      <w:r>
        <w:rPr>
          <w:rFonts w:hint="eastAsia" w:ascii="Times New Roman" w:hAnsi="Times New Roman" w:cs="宋体"/>
          <w:kern w:val="1"/>
          <w:szCs w:val="21"/>
        </w:rPr>
        <w:t>、试论行政垄断的民事救济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44</w:t>
      </w:r>
      <w:r>
        <w:rPr>
          <w:rFonts w:hint="eastAsia" w:ascii="Times New Roman" w:hAnsi="Times New Roman" w:cs="宋体"/>
          <w:kern w:val="1"/>
          <w:szCs w:val="21"/>
        </w:rPr>
        <w:t>、反垄断损害赔偿制度研究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45</w:t>
      </w:r>
      <w:r>
        <w:rPr>
          <w:rFonts w:hint="eastAsia" w:ascii="Times New Roman" w:hAnsi="Times New Roman" w:cs="宋体"/>
          <w:kern w:val="1"/>
          <w:szCs w:val="21"/>
        </w:rPr>
        <w:t>、反垄断执法机构研究——比较法角度分析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46</w:t>
      </w:r>
      <w:r>
        <w:rPr>
          <w:rFonts w:hint="eastAsia" w:ascii="Times New Roman" w:hAnsi="Times New Roman" w:cs="宋体"/>
          <w:kern w:val="1"/>
          <w:szCs w:val="21"/>
        </w:rPr>
        <w:t>、我国反垄断执法机构的现实与改造</w:t>
      </w:r>
      <w:r>
        <w:rPr>
          <w:rFonts w:ascii="Times New Roman" w:hAnsi="Times New Roman"/>
          <w:kern w:val="1"/>
          <w:szCs w:val="21"/>
        </w:rPr>
        <w:t xml:space="preserve"> 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47</w:t>
      </w:r>
      <w:r>
        <w:rPr>
          <w:rFonts w:hint="eastAsia" w:ascii="Times New Roman" w:hAnsi="Times New Roman" w:cs="宋体"/>
          <w:kern w:val="1"/>
          <w:szCs w:val="21"/>
        </w:rPr>
        <w:t>、试论反垄断法中的合理原则</w:t>
      </w:r>
    </w:p>
    <w:p>
      <w:r>
        <w:t>48</w:t>
      </w:r>
      <w:r>
        <w:rPr>
          <w:rFonts w:hint="eastAsia"/>
        </w:rPr>
        <w:t>、商业模式创新的竞争法保护</w:t>
      </w:r>
    </w:p>
    <w:p>
      <w:r>
        <w:t>49</w:t>
      </w:r>
      <w:r>
        <w:rPr>
          <w:rFonts w:hint="eastAsia"/>
        </w:rPr>
        <w:t>、经营者集中创新损害问题研究</w:t>
      </w:r>
    </w:p>
    <w:p>
      <w:r>
        <w:t>50</w:t>
      </w:r>
      <w:r>
        <w:rPr>
          <w:rFonts w:hint="eastAsia"/>
        </w:rPr>
        <w:t>、互联网平台企业自我优待的反垄断法规制</w:t>
      </w:r>
    </w:p>
    <w:p>
      <w:r>
        <w:t>51</w:t>
      </w:r>
      <w:r>
        <w:rPr>
          <w:rFonts w:hint="eastAsia"/>
        </w:rPr>
        <w:t>、互联网平台封禁的法律规制</w:t>
      </w:r>
    </w:p>
    <w:p>
      <w:r>
        <w:t>52</w:t>
      </w:r>
      <w:r>
        <w:rPr>
          <w:rFonts w:hint="eastAsia"/>
        </w:rPr>
        <w:t>、数据型滥用市场支配地位行为的反垄断法规制</w:t>
      </w:r>
    </w:p>
    <w:p>
      <w:r>
        <w:t>53</w:t>
      </w:r>
      <w:r>
        <w:rPr>
          <w:rFonts w:hint="eastAsia"/>
        </w:rPr>
        <w:t>、大型平台企业猎杀式并购的反垄断法规制</w:t>
      </w:r>
    </w:p>
    <w:p>
      <w:r>
        <w:t>54</w:t>
      </w:r>
      <w:r>
        <w:rPr>
          <w:rFonts w:hint="eastAsia"/>
        </w:rPr>
        <w:t>、中心辐射型垄断协议的法律规制</w:t>
      </w:r>
    </w:p>
    <w:p>
      <w:r>
        <w:t>55</w:t>
      </w:r>
      <w:r>
        <w:rPr>
          <w:rFonts w:hint="eastAsia"/>
        </w:rPr>
        <w:t>、纵向垄断协议的法律规制</w:t>
      </w:r>
    </w:p>
    <w:p>
      <w:r>
        <w:t>56</w:t>
      </w:r>
      <w:r>
        <w:rPr>
          <w:rFonts w:hint="eastAsia"/>
        </w:rPr>
        <w:t>、协同行为的反垄断法规制</w:t>
      </w:r>
    </w:p>
    <w:p>
      <w:r>
        <w:t>57</w:t>
      </w:r>
      <w:r>
        <w:rPr>
          <w:rFonts w:hint="eastAsia"/>
        </w:rPr>
        <w:t>、算法共谋的反垄断法规制</w:t>
      </w:r>
    </w:p>
    <w:p>
      <w:r>
        <w:t>58</w:t>
      </w:r>
      <w:r>
        <w:rPr>
          <w:rFonts w:hint="eastAsia"/>
        </w:rPr>
        <w:t>、共同市场支配地位问题研究</w:t>
      </w:r>
    </w:p>
    <w:p>
      <w:r>
        <w:t>59</w:t>
      </w:r>
      <w:r>
        <w:rPr>
          <w:rFonts w:hint="eastAsia"/>
        </w:rPr>
        <w:t>、数据驱动型经营者集中的反垄断法规制</w:t>
      </w:r>
    </w:p>
    <w:p>
      <w:r>
        <w:t>60</w:t>
      </w:r>
      <w:r>
        <w:rPr>
          <w:rFonts w:hint="eastAsia"/>
        </w:rPr>
        <w:t>、组织帮助型垄断协议的法律规制</w:t>
      </w:r>
    </w:p>
    <w:p>
      <w:r>
        <w:t>61</w:t>
      </w:r>
      <w:r>
        <w:rPr>
          <w:rFonts w:hint="eastAsia"/>
        </w:rPr>
        <w:t>、论政府补贴的公平竞争审查</w:t>
      </w:r>
    </w:p>
    <w:p>
      <w:r>
        <w:t>62</w:t>
      </w:r>
      <w:r>
        <w:rPr>
          <w:rFonts w:hint="eastAsia"/>
        </w:rPr>
        <w:t>、论政府采购的公平竞争审查</w:t>
      </w:r>
    </w:p>
    <w:p>
      <w:r>
        <w:t>63</w:t>
      </w:r>
      <w:r>
        <w:rPr>
          <w:rFonts w:hint="eastAsia"/>
        </w:rPr>
        <w:t>、行政垄断法律责任制度完善研究</w:t>
      </w:r>
    </w:p>
    <w:p>
      <w:r>
        <w:t>64</w:t>
      </w:r>
      <w:r>
        <w:rPr>
          <w:rFonts w:hint="eastAsia"/>
        </w:rPr>
        <w:t>、行政垄断中受益经营者的法律责任问题研究</w:t>
      </w:r>
    </w:p>
    <w:p>
      <w:r>
        <w:t>65</w:t>
      </w:r>
      <w:r>
        <w:rPr>
          <w:rFonts w:hint="eastAsia"/>
        </w:rPr>
        <w:t>、反垄断罚款制度研究</w:t>
      </w:r>
    </w:p>
    <w:p>
      <w:r>
        <w:t>66</w:t>
      </w:r>
      <w:r>
        <w:rPr>
          <w:rFonts w:hint="eastAsia"/>
        </w:rPr>
        <w:t>、反垄断法中罚款与没收违法所得的关系问题研究</w:t>
      </w:r>
    </w:p>
    <w:p>
      <w:r>
        <w:t>67</w:t>
      </w:r>
      <w:r>
        <w:rPr>
          <w:rFonts w:hint="eastAsia"/>
        </w:rPr>
        <w:t>、反垄断法惩罚性赔偿制度研究</w:t>
      </w:r>
    </w:p>
    <w:p>
      <w:r>
        <w:t>68</w:t>
      </w:r>
      <w:r>
        <w:rPr>
          <w:rFonts w:hint="eastAsia"/>
        </w:rPr>
        <w:t>、反垄断公益诉讼制度研究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69</w:t>
      </w:r>
      <w:r>
        <w:rPr>
          <w:rFonts w:hint="eastAsia"/>
          <w:kern w:val="1"/>
          <w:szCs w:val="21"/>
        </w:rPr>
        <w:t>、关于经营者集中之反垄断事中监管(即限制性条件监管)制度的建构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70</w:t>
      </w:r>
      <w:r>
        <w:rPr>
          <w:rFonts w:hint="eastAsia"/>
          <w:kern w:val="1"/>
          <w:szCs w:val="21"/>
        </w:rPr>
        <w:t>、相关市场竞争评估之竞争危害性应是垄断行为构成的必要要件(垄断行为构成的执法与司法之裁判尺度应当统一)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71</w:t>
      </w:r>
      <w:r>
        <w:rPr>
          <w:rFonts w:hint="eastAsia"/>
          <w:kern w:val="1"/>
          <w:szCs w:val="21"/>
        </w:rPr>
        <w:t>、关于经营者集中"偷抢跑行为"的反垄断执法调查与法律责任研究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/>
          <w:kern w:val="1"/>
          <w:szCs w:val="21"/>
        </w:rPr>
        <w:t>7</w:t>
      </w:r>
      <w:r>
        <w:rPr>
          <w:kern w:val="1"/>
          <w:szCs w:val="21"/>
        </w:rPr>
        <w:t>2</w:t>
      </w:r>
      <w:r>
        <w:rPr>
          <w:rFonts w:hint="eastAsia"/>
          <w:kern w:val="1"/>
          <w:szCs w:val="21"/>
        </w:rPr>
        <w:t>、</w:t>
      </w:r>
      <w:r>
        <w:rPr>
          <w:rFonts w:hint="eastAsia" w:ascii="Times New Roman" w:hAnsi="Times New Roman" w:cs="宋体"/>
          <w:kern w:val="1"/>
          <w:szCs w:val="21"/>
        </w:rPr>
        <w:t>引人误解的商业宣传行为作为类型化不正当竞争行为的法律解读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、引人误解的商业宣传行为、虚假广告行为与不正当价格行为的法律适用与冲突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/>
          <w:kern w:val="1"/>
          <w:szCs w:val="21"/>
        </w:rPr>
        <w:t>7</w:t>
      </w:r>
      <w:r>
        <w:rPr>
          <w:kern w:val="1"/>
          <w:szCs w:val="21"/>
        </w:rPr>
        <w:t>4</w:t>
      </w:r>
      <w:r>
        <w:rPr>
          <w:rFonts w:hint="eastAsia"/>
          <w:kern w:val="1"/>
          <w:szCs w:val="21"/>
        </w:rPr>
        <w:t>、竞争政策基础地位之研究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、互联网平台责任研究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、互联网平台数据保护与使用研究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、《电子商务法》背景下相关案例研究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78</w:t>
      </w:r>
      <w:r>
        <w:rPr>
          <w:rFonts w:hint="eastAsia" w:ascii="Times New Roman" w:hAnsi="Times New Roman" w:cs="宋体"/>
          <w:kern w:val="1"/>
          <w:szCs w:val="21"/>
        </w:rPr>
        <w:t>、互联网第三方支付法律规制研究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、指南的法律性质与功能研究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、禁令制度研究</w:t>
      </w:r>
    </w:p>
    <w:p>
      <w:pPr>
        <w:rPr>
          <w:rFonts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>（二）消法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1、消费者的法律界定——兼评“王海”是消费者吗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2、试论消费者与经营者利益平衡的法律机制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3、试论消费者安全权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4、我国消费者安全权法律保障的缺陷与完善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5、试论消费者知情权——以一则典型实例为视角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6、试论消费者公平交易权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兼议</w:t>
      </w:r>
      <w:r>
        <w:rPr>
          <w:rFonts w:ascii="Times New Roman" w:hAnsi="Times New Roman"/>
          <w:kern w:val="1"/>
          <w:szCs w:val="21"/>
        </w:rPr>
        <w:t>“</w:t>
      </w:r>
      <w:r>
        <w:rPr>
          <w:rFonts w:hint="eastAsia" w:ascii="Times New Roman" w:hAnsi="Times New Roman" w:cs="宋体"/>
          <w:kern w:val="1"/>
          <w:szCs w:val="21"/>
        </w:rPr>
        <w:t>霸王合同</w:t>
      </w:r>
      <w:r>
        <w:rPr>
          <w:rFonts w:ascii="Times New Roman" w:hAnsi="Times New Roman"/>
          <w:kern w:val="1"/>
          <w:szCs w:val="21"/>
        </w:rPr>
        <w:t>”</w:t>
      </w:r>
      <w:r>
        <w:rPr>
          <w:rFonts w:hint="eastAsia" w:ascii="Times New Roman" w:hAnsi="Times New Roman" w:cs="宋体"/>
          <w:kern w:val="1"/>
          <w:szCs w:val="21"/>
        </w:rPr>
        <w:t>或</w:t>
      </w:r>
      <w:r>
        <w:rPr>
          <w:rFonts w:ascii="Times New Roman" w:hAnsi="Times New Roman"/>
          <w:kern w:val="1"/>
          <w:szCs w:val="21"/>
        </w:rPr>
        <w:t>“</w:t>
      </w:r>
      <w:r>
        <w:rPr>
          <w:rFonts w:hint="eastAsia" w:ascii="Times New Roman" w:hAnsi="Times New Roman" w:cs="宋体"/>
          <w:kern w:val="1"/>
          <w:szCs w:val="21"/>
        </w:rPr>
        <w:t>霸王条款</w:t>
      </w:r>
      <w:r>
        <w:rPr>
          <w:rFonts w:ascii="Times New Roman" w:hAnsi="Times New Roman"/>
          <w:kern w:val="1"/>
          <w:szCs w:val="21"/>
        </w:rPr>
        <w:t>”</w:t>
      </w:r>
      <w:r>
        <w:rPr>
          <w:rFonts w:hint="eastAsia" w:ascii="Times New Roman" w:hAnsi="Times New Roman" w:cs="宋体"/>
          <w:kern w:val="1"/>
          <w:szCs w:val="21"/>
        </w:rPr>
        <w:t>和所谓</w:t>
      </w:r>
      <w:r>
        <w:rPr>
          <w:rFonts w:ascii="Times New Roman" w:hAnsi="Times New Roman"/>
          <w:kern w:val="1"/>
          <w:szCs w:val="21"/>
        </w:rPr>
        <w:t>“</w:t>
      </w:r>
      <w:r>
        <w:rPr>
          <w:rFonts w:hint="eastAsia" w:ascii="Times New Roman" w:hAnsi="Times New Roman" w:cs="宋体"/>
          <w:kern w:val="1"/>
          <w:szCs w:val="21"/>
        </w:rPr>
        <w:t>行规</w:t>
      </w:r>
      <w:r>
        <w:rPr>
          <w:rFonts w:ascii="Times New Roman" w:hAnsi="Times New Roman"/>
          <w:kern w:val="1"/>
          <w:szCs w:val="21"/>
        </w:rPr>
        <w:t>”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7、试论消费者自主选择权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8、试论消费者的结社权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、试论消费者人格权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、试论消费者教育权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、试论消费者个人信息权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、试论消费者后悔权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兼议</w:t>
      </w:r>
      <w:r>
        <w:rPr>
          <w:rFonts w:ascii="Times New Roman" w:hAnsi="Times New Roman"/>
          <w:kern w:val="1"/>
          <w:szCs w:val="21"/>
        </w:rPr>
        <w:t>“</w:t>
      </w:r>
      <w:r>
        <w:rPr>
          <w:rFonts w:hint="eastAsia" w:ascii="Times New Roman" w:hAnsi="Times New Roman" w:cs="宋体"/>
          <w:kern w:val="1"/>
          <w:szCs w:val="21"/>
        </w:rPr>
        <w:t>无理由</w:t>
      </w:r>
      <w:r>
        <w:rPr>
          <w:rFonts w:ascii="Times New Roman" w:hAnsi="Times New Roman"/>
          <w:kern w:val="1"/>
          <w:szCs w:val="21"/>
        </w:rPr>
        <w:t>”</w:t>
      </w:r>
      <w:r>
        <w:rPr>
          <w:rFonts w:hint="eastAsia" w:ascii="Times New Roman" w:hAnsi="Times New Roman" w:cs="宋体"/>
          <w:kern w:val="1"/>
          <w:szCs w:val="21"/>
        </w:rPr>
        <w:t>退货制度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13</w:t>
      </w:r>
      <w:r>
        <w:rPr>
          <w:rFonts w:hint="eastAsia" w:ascii="Times New Roman" w:hAnsi="Times New Roman" w:cs="宋体"/>
          <w:kern w:val="1"/>
          <w:szCs w:val="21"/>
        </w:rPr>
        <w:t>、关于商品退货制度的法律思考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多角度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14</w:t>
      </w:r>
      <w:r>
        <w:rPr>
          <w:rFonts w:hint="eastAsia" w:ascii="Times New Roman" w:hAnsi="Times New Roman" w:cs="宋体"/>
          <w:kern w:val="1"/>
          <w:szCs w:val="21"/>
        </w:rPr>
        <w:t>、试论消费者监督建议权（涵义、内容与本质）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15</w:t>
      </w:r>
      <w:r>
        <w:rPr>
          <w:rFonts w:hint="eastAsia" w:ascii="Times New Roman" w:hAnsi="Times New Roman" w:cs="宋体"/>
          <w:kern w:val="1"/>
          <w:szCs w:val="21"/>
        </w:rPr>
        <w:t>、消费者权利实现的法律思考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16</w:t>
      </w:r>
      <w:r>
        <w:rPr>
          <w:rFonts w:hint="eastAsia" w:ascii="Times New Roman" w:hAnsi="Times New Roman" w:cs="宋体"/>
          <w:kern w:val="1"/>
          <w:szCs w:val="21"/>
        </w:rPr>
        <w:t>、消费者损害赔偿制度研究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17</w:t>
      </w:r>
      <w:r>
        <w:rPr>
          <w:rFonts w:hint="eastAsia" w:ascii="Times New Roman" w:hAnsi="Times New Roman" w:cs="宋体"/>
          <w:kern w:val="1"/>
          <w:szCs w:val="21"/>
        </w:rPr>
        <w:t>、关于惩罚性赔偿制度的法律适用与思考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18</w:t>
      </w:r>
      <w:r>
        <w:rPr>
          <w:rFonts w:hint="eastAsia" w:ascii="Times New Roman" w:hAnsi="Times New Roman" w:cs="宋体"/>
          <w:kern w:val="1"/>
          <w:szCs w:val="21"/>
        </w:rPr>
        <w:t>、关于惩罚性赔偿制度的我国法律实践与完善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19</w:t>
      </w:r>
      <w:r>
        <w:rPr>
          <w:rFonts w:hint="eastAsia" w:ascii="Times New Roman" w:hAnsi="Times New Roman" w:cs="宋体"/>
          <w:kern w:val="1"/>
          <w:szCs w:val="21"/>
        </w:rPr>
        <w:t>、关于限额赔偿制度的法律适用与思考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、消费者协会的法律定位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21</w:t>
      </w:r>
      <w:r>
        <w:rPr>
          <w:rFonts w:hint="eastAsia" w:ascii="Times New Roman" w:hAnsi="Times New Roman" w:cs="宋体"/>
          <w:kern w:val="1"/>
          <w:szCs w:val="21"/>
        </w:rPr>
        <w:t>、医患纠纷中患者权益的法律保护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22</w:t>
      </w:r>
      <w:r>
        <w:rPr>
          <w:rFonts w:hint="eastAsia" w:ascii="Times New Roman" w:hAnsi="Times New Roman" w:cs="宋体"/>
          <w:kern w:val="1"/>
          <w:szCs w:val="21"/>
        </w:rPr>
        <w:t>、电信消费者权益的法律保护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、旅行社与游客的权益纠纷及其法律调整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、网络环境中消费者权益保护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、消费者保护的比较法研究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兼论我国消费者保护体系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、我国消费争议仲裁制度的现实与改造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、我国消费者行政申诉制度评析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、我国消费者诉讼制度评析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、试论关于消费者利益的立法与决策的听证制度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兼评消费者</w:t>
      </w:r>
      <w:r>
        <w:rPr>
          <w:rFonts w:ascii="Times New Roman" w:hAnsi="Times New Roman"/>
          <w:kern w:val="1"/>
          <w:szCs w:val="21"/>
        </w:rPr>
        <w:t>“</w:t>
      </w:r>
      <w:r>
        <w:rPr>
          <w:rFonts w:hint="eastAsia" w:ascii="Times New Roman" w:hAnsi="Times New Roman" w:cs="宋体"/>
          <w:kern w:val="1"/>
          <w:szCs w:val="21"/>
        </w:rPr>
        <w:t>话语权</w:t>
      </w:r>
      <w:r>
        <w:rPr>
          <w:rFonts w:ascii="Times New Roman" w:hAnsi="Times New Roman"/>
          <w:kern w:val="1"/>
          <w:szCs w:val="21"/>
        </w:rPr>
        <w:t>”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、试论消费者权利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31</w:t>
      </w:r>
      <w:r>
        <w:rPr>
          <w:rFonts w:hint="eastAsia" w:ascii="Times New Roman" w:hAnsi="Times New Roman" w:cs="宋体"/>
          <w:kern w:val="1"/>
          <w:szCs w:val="21"/>
        </w:rPr>
        <w:t>、试论消费者权利救济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、关于我国经营者义务的法律思考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、消费者评价权的法律探讨(基于美国2016年《消费者评价公平法》的思考)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、数字时代下数据权益的法律解析与利益平衡机制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35</w:t>
      </w:r>
      <w:r>
        <w:rPr>
          <w:rFonts w:hint="eastAsia" w:ascii="Times New Roman" w:hAnsi="Times New Roman" w:cs="宋体"/>
          <w:kern w:val="1"/>
          <w:szCs w:val="21"/>
        </w:rPr>
        <w:t>、消费者个人信息权的权利内涵与外延拓展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、社交团购之消费者保护问题研究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、人脸识别监管场景下个人信息权保护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</w:t>
      </w:r>
      <w:r>
        <w:rPr>
          <w:rFonts w:hint="eastAsia"/>
          <w:kern w:val="1"/>
          <w:szCs w:val="21"/>
        </w:rPr>
        <w:t>食品安全之消费公益诉讼制度的法律探讨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、小商小贩的法律界定与消法适用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、基于个体经营者之消费者保护边界的法律探讨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</w:t>
      </w:r>
      <w:r>
        <w:rPr>
          <w:rFonts w:hint="eastAsia"/>
          <w:kern w:val="1"/>
          <w:szCs w:val="21"/>
        </w:rPr>
        <w:t>消费诉讼惩罚性赔偿制度的适用条件之比较分析及规则选择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、汽车三包制度的法律解读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、金融消费者的权益保护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、职业打假人的经济法规制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、广告法执法实践研究</w:t>
      </w:r>
    </w:p>
    <w:p>
      <w:pPr>
        <w:rPr>
          <w:rFonts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>（三）产品质量法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、商品质量监管体制的法律思考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、商品质量认证认可制度研究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3、产品质量检验制度研究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4、产品质量标准制度研究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5、产品质量抽查制度研究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、缺陷产品召回制度研究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7、商品质量</w:t>
      </w:r>
      <w:r>
        <w:rPr>
          <w:rFonts w:ascii="Times New Roman" w:hAnsi="Times New Roman"/>
          <w:kern w:val="1"/>
          <w:szCs w:val="21"/>
        </w:rPr>
        <w:t>“</w:t>
      </w:r>
      <w:r>
        <w:rPr>
          <w:rFonts w:hint="eastAsia" w:ascii="Times New Roman" w:hAnsi="Times New Roman" w:cs="宋体"/>
          <w:kern w:val="1"/>
          <w:szCs w:val="21"/>
        </w:rPr>
        <w:t>三包</w:t>
      </w:r>
      <w:r>
        <w:rPr>
          <w:rFonts w:ascii="Times New Roman" w:hAnsi="Times New Roman"/>
          <w:kern w:val="1"/>
          <w:szCs w:val="21"/>
        </w:rPr>
        <w:t>”</w:t>
      </w:r>
      <w:r>
        <w:rPr>
          <w:rFonts w:hint="eastAsia" w:ascii="Times New Roman" w:hAnsi="Times New Roman" w:cs="宋体"/>
          <w:kern w:val="1"/>
          <w:szCs w:val="21"/>
        </w:rPr>
        <w:t>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8、商品质量瑕疵担保制度研究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9、产品标识与包装制度研究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10</w:t>
      </w:r>
      <w:r>
        <w:rPr>
          <w:rFonts w:hint="eastAsia" w:ascii="Times New Roman" w:hAnsi="Times New Roman" w:cs="宋体"/>
          <w:kern w:val="1"/>
          <w:szCs w:val="21"/>
        </w:rPr>
        <w:t>、进货检查验收制度研究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11</w:t>
      </w:r>
      <w:r>
        <w:rPr>
          <w:rFonts w:hint="eastAsia" w:ascii="Times New Roman" w:hAnsi="Times New Roman" w:cs="宋体"/>
          <w:kern w:val="1"/>
          <w:szCs w:val="21"/>
        </w:rPr>
        <w:t>、计量制度研究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12</w:t>
      </w:r>
      <w:r>
        <w:rPr>
          <w:rFonts w:hint="eastAsia" w:ascii="Times New Roman" w:hAnsi="Times New Roman" w:cs="宋体"/>
          <w:kern w:val="1"/>
          <w:szCs w:val="21"/>
        </w:rPr>
        <w:t>、生产经营许可制度研究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13</w:t>
      </w:r>
      <w:r>
        <w:rPr>
          <w:rFonts w:hint="eastAsia" w:ascii="Times New Roman" w:hAnsi="Times New Roman" w:cs="宋体"/>
          <w:kern w:val="1"/>
          <w:szCs w:val="21"/>
        </w:rPr>
        <w:t>、服务质量问题的法律思考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14</w:t>
      </w:r>
      <w:r>
        <w:rPr>
          <w:rFonts w:hint="eastAsia" w:ascii="Times New Roman" w:hAnsi="Times New Roman" w:cs="宋体"/>
          <w:kern w:val="1"/>
          <w:szCs w:val="21"/>
        </w:rPr>
        <w:t>、进出口商品质量检验检疫制度研究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15</w:t>
      </w:r>
      <w:r>
        <w:rPr>
          <w:rFonts w:hint="eastAsia" w:ascii="Times New Roman" w:hAnsi="Times New Roman" w:cs="宋体"/>
          <w:kern w:val="1"/>
          <w:szCs w:val="21"/>
        </w:rPr>
        <w:t>、食品质量安全的法律思考——以某一典型案例来展开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16</w:t>
      </w:r>
      <w:r>
        <w:rPr>
          <w:rFonts w:hint="eastAsia" w:ascii="Times New Roman" w:hAnsi="Times New Roman" w:cs="宋体"/>
          <w:kern w:val="1"/>
          <w:szCs w:val="21"/>
        </w:rPr>
        <w:t>、食品安全标准制度研究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17</w:t>
      </w:r>
      <w:r>
        <w:rPr>
          <w:rFonts w:hint="eastAsia" w:ascii="Times New Roman" w:hAnsi="Times New Roman" w:cs="宋体"/>
          <w:kern w:val="1"/>
          <w:szCs w:val="21"/>
        </w:rPr>
        <w:t>、我国食品安全监管体制的现实与改造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18</w:t>
      </w:r>
      <w:r>
        <w:rPr>
          <w:rFonts w:hint="eastAsia" w:ascii="Times New Roman" w:hAnsi="Times New Roman" w:cs="宋体"/>
          <w:kern w:val="1"/>
          <w:szCs w:val="21"/>
        </w:rPr>
        <w:t>、我国药品监管制度若干问题的法律思考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19</w:t>
      </w:r>
      <w:r>
        <w:rPr>
          <w:rFonts w:hint="eastAsia" w:ascii="Times New Roman" w:hAnsi="Times New Roman" w:cs="宋体"/>
          <w:kern w:val="1"/>
          <w:szCs w:val="21"/>
        </w:rPr>
        <w:t>、虚假广告的法律责任问题研究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、产品质量法律责任研究（以其中民事责任为主）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、产品质量风险的分配与治理</w:t>
      </w:r>
    </w:p>
    <w:p>
      <w:pPr>
        <w:pStyle w:val="2"/>
        <w:bidi w:val="0"/>
      </w:pPr>
      <w:r>
        <w:rPr>
          <w:rFonts w:hint="eastAsia"/>
        </w:rPr>
        <w:t>三、宏观调控法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、试论财政法的地位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2、财政法体系的构建与完善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3、我国新《预算法》的评析与思考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、我国预算管理若干问题的法律思考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5、公共资金与审计监督的法律思考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6、地方财政问题的法律思考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7、政府非税收入的法律思考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8、关于我国预算体系的法律思考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9、试论预算编制的法律原则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10</w:t>
      </w:r>
      <w:r>
        <w:rPr>
          <w:rFonts w:hint="eastAsia" w:ascii="Times New Roman" w:hAnsi="Times New Roman" w:cs="宋体"/>
          <w:kern w:val="1"/>
          <w:szCs w:val="21"/>
        </w:rPr>
        <w:t>、关于预算监督制度的法律思考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11</w:t>
      </w:r>
      <w:r>
        <w:rPr>
          <w:rFonts w:hint="eastAsia" w:ascii="Times New Roman" w:hAnsi="Times New Roman" w:cs="宋体"/>
          <w:kern w:val="1"/>
          <w:szCs w:val="21"/>
        </w:rPr>
        <w:t>、关于一般公共预算的法律思考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12</w:t>
      </w:r>
      <w:r>
        <w:rPr>
          <w:rFonts w:hint="eastAsia" w:ascii="Times New Roman" w:hAnsi="Times New Roman" w:cs="宋体"/>
          <w:kern w:val="1"/>
          <w:szCs w:val="21"/>
        </w:rPr>
        <w:t>、政府采购制度研究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13</w:t>
      </w:r>
      <w:r>
        <w:rPr>
          <w:rFonts w:hint="eastAsia" w:ascii="Times New Roman" w:hAnsi="Times New Roman" w:cs="宋体"/>
          <w:kern w:val="1"/>
          <w:szCs w:val="21"/>
        </w:rPr>
        <w:t>、转移支付制度研究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14</w:t>
      </w:r>
      <w:r>
        <w:rPr>
          <w:rFonts w:hint="eastAsia" w:ascii="Times New Roman" w:hAnsi="Times New Roman" w:cs="宋体"/>
          <w:kern w:val="1"/>
          <w:szCs w:val="21"/>
        </w:rPr>
        <w:t>、国债制度研究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15</w:t>
      </w:r>
      <w:r>
        <w:rPr>
          <w:rFonts w:hint="eastAsia" w:ascii="Times New Roman" w:hAnsi="Times New Roman" w:cs="宋体"/>
          <w:kern w:val="1"/>
          <w:szCs w:val="21"/>
        </w:rPr>
        <w:t>、国库集中收付制度研究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16</w:t>
      </w:r>
      <w:r>
        <w:rPr>
          <w:rFonts w:hint="eastAsia" w:ascii="Times New Roman" w:hAnsi="Times New Roman" w:cs="宋体"/>
          <w:kern w:val="1"/>
          <w:szCs w:val="21"/>
        </w:rPr>
        <w:t>、“收支两条线”的法律思考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17</w:t>
      </w:r>
      <w:r>
        <w:rPr>
          <w:rFonts w:hint="eastAsia" w:ascii="Times New Roman" w:hAnsi="Times New Roman" w:cs="宋体"/>
          <w:kern w:val="1"/>
          <w:szCs w:val="21"/>
        </w:rPr>
        <w:t>、关于财政补贴的法律思考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18</w:t>
      </w:r>
      <w:r>
        <w:rPr>
          <w:rFonts w:hint="eastAsia" w:ascii="Times New Roman" w:hAnsi="Times New Roman" w:cs="宋体"/>
          <w:kern w:val="1"/>
          <w:szCs w:val="21"/>
        </w:rPr>
        <w:t>、关于财政管理体制的法律思考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19</w:t>
      </w:r>
      <w:r>
        <w:rPr>
          <w:rFonts w:hint="eastAsia" w:ascii="Times New Roman" w:hAnsi="Times New Roman" w:cs="宋体"/>
          <w:kern w:val="1"/>
          <w:szCs w:val="21"/>
        </w:rPr>
        <w:t>、试论税收法律关系的基本要素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、试论税收法定原则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21</w:t>
      </w:r>
      <w:r>
        <w:rPr>
          <w:rFonts w:hint="eastAsia" w:ascii="Times New Roman" w:hAnsi="Times New Roman" w:cs="宋体"/>
          <w:kern w:val="1"/>
          <w:szCs w:val="21"/>
        </w:rPr>
        <w:t>、试论税收公平原则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、试论税收效率原则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、税收调控作用与税收中性的法律思考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、关于减免税的法律思考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、增值税制度研究</w:t>
      </w:r>
      <w:r>
        <w:rPr>
          <w:rFonts w:ascii="Times New Roman" w:hAnsi="Times New Roman"/>
          <w:kern w:val="1"/>
          <w:szCs w:val="21"/>
        </w:rPr>
        <w:t>——</w:t>
      </w:r>
      <w:r>
        <w:rPr>
          <w:rFonts w:hint="eastAsia" w:ascii="Times New Roman" w:hAnsi="Times New Roman" w:cs="宋体"/>
          <w:kern w:val="1"/>
          <w:szCs w:val="21"/>
        </w:rPr>
        <w:t>兼议</w:t>
      </w:r>
      <w:r>
        <w:rPr>
          <w:rFonts w:ascii="Times New Roman" w:hAnsi="Times New Roman"/>
          <w:kern w:val="1"/>
          <w:szCs w:val="21"/>
        </w:rPr>
        <w:t>“</w:t>
      </w:r>
      <w:r>
        <w:rPr>
          <w:rFonts w:hint="eastAsia" w:ascii="Times New Roman" w:hAnsi="Times New Roman" w:cs="宋体"/>
          <w:kern w:val="1"/>
          <w:szCs w:val="21"/>
        </w:rPr>
        <w:t>营改增</w:t>
      </w:r>
      <w:r>
        <w:rPr>
          <w:rFonts w:ascii="Times New Roman" w:hAnsi="Times New Roman"/>
          <w:kern w:val="1"/>
          <w:szCs w:val="21"/>
        </w:rPr>
        <w:t>”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26</w:t>
      </w:r>
      <w:r>
        <w:rPr>
          <w:rFonts w:hint="eastAsia" w:ascii="Times New Roman" w:hAnsi="Times New Roman" w:cs="宋体"/>
          <w:kern w:val="1"/>
          <w:szCs w:val="21"/>
        </w:rPr>
        <w:t>、消费税制度研究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、关税制度研究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、关于商品税若干（几个、一些）问题的法律思考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2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、企业所得税制度研究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30</w:t>
      </w:r>
      <w:r>
        <w:rPr>
          <w:rFonts w:hint="eastAsia" w:ascii="Times New Roman" w:hAnsi="Times New Roman" w:cs="宋体"/>
          <w:kern w:val="1"/>
          <w:szCs w:val="21"/>
        </w:rPr>
        <w:t>、个人所得税制度研究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31</w:t>
      </w:r>
      <w:r>
        <w:rPr>
          <w:rFonts w:hint="eastAsia" w:ascii="Times New Roman" w:hAnsi="Times New Roman" w:cs="宋体"/>
          <w:kern w:val="1"/>
          <w:szCs w:val="21"/>
        </w:rPr>
        <w:t>、房地产税收制度研究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、关于完善乡级财政的法律思考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、关于税收优惠的法律思考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、我国税制改革与完善的法律思考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、我国产业政策与税收政策的协调及其法律调整——以汽车产业为例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、税收征管制度研究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37</w:t>
      </w:r>
      <w:r>
        <w:rPr>
          <w:rFonts w:hint="eastAsia" w:ascii="Times New Roman" w:hAnsi="Times New Roman" w:cs="宋体"/>
          <w:kern w:val="1"/>
          <w:szCs w:val="21"/>
        </w:rPr>
        <w:t>、税收征管若干（几个、一些）问题的法律思考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、税收征管法修订之我见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、试论纳税人权利及其法律保护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、试论税收保全措施及其法律实现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41</w:t>
      </w:r>
      <w:r>
        <w:rPr>
          <w:rFonts w:hint="eastAsia" w:ascii="Times New Roman" w:hAnsi="Times New Roman" w:cs="宋体"/>
          <w:kern w:val="1"/>
          <w:szCs w:val="21"/>
        </w:rPr>
        <w:t>、试论税收的私法因素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、税收执法权的法律思考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、税收争议及其解决的法律思考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、税务代理制度研究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45</w:t>
      </w:r>
      <w:r>
        <w:rPr>
          <w:rFonts w:hint="eastAsia" w:ascii="Times New Roman" w:hAnsi="Times New Roman" w:cs="宋体"/>
          <w:kern w:val="1"/>
          <w:szCs w:val="21"/>
        </w:rPr>
        <w:t>、避税的法律思考——以一起实例来展开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、遗产税制度研究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、试论地方政府的税收立法权限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</w:t>
      </w:r>
      <w:r>
        <w:rPr>
          <w:rFonts w:ascii="Times New Roman" w:hAnsi="Times New Roman"/>
          <w:kern w:val="1"/>
          <w:szCs w:val="21"/>
        </w:rPr>
        <w:t>“</w:t>
      </w:r>
      <w:r>
        <w:rPr>
          <w:rFonts w:hint="eastAsia" w:ascii="Times New Roman" w:hAnsi="Times New Roman" w:cs="宋体"/>
          <w:kern w:val="1"/>
          <w:szCs w:val="21"/>
        </w:rPr>
        <w:t>非法所得</w:t>
      </w:r>
      <w:r>
        <w:rPr>
          <w:rFonts w:ascii="Times New Roman" w:hAnsi="Times New Roman"/>
          <w:kern w:val="1"/>
          <w:szCs w:val="21"/>
        </w:rPr>
        <w:t>”</w:t>
      </w:r>
      <w:r>
        <w:rPr>
          <w:rFonts w:hint="eastAsia" w:ascii="Times New Roman" w:hAnsi="Times New Roman" w:cs="宋体"/>
          <w:kern w:val="1"/>
          <w:szCs w:val="21"/>
        </w:rPr>
        <w:t>是否纳税？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、地方政府能否发行国债？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、纳税人诉讼机制研究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</w:t>
      </w:r>
      <w:r>
        <w:rPr>
          <w:rFonts w:ascii="Times New Roman" w:hAnsi="Times New Roman" w:cs="宋体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、量能课税原则与《个人所得税法》的修改问题研究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、《增值税法》立法问题研究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53</w:t>
      </w:r>
      <w:r>
        <w:rPr>
          <w:rFonts w:hint="eastAsia" w:ascii="Times New Roman" w:hAnsi="Times New Roman" w:cs="宋体"/>
          <w:kern w:val="1"/>
          <w:szCs w:val="21"/>
        </w:rPr>
        <w:t>、增值税留抵退税政策研究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54</w:t>
      </w:r>
      <w:r>
        <w:rPr>
          <w:rFonts w:hint="eastAsia" w:ascii="Times New Roman" w:hAnsi="Times New Roman" w:cs="宋体"/>
          <w:kern w:val="1"/>
          <w:szCs w:val="21"/>
        </w:rPr>
        <w:t>、“双碳”背景下的碳税问题研究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55</w:t>
      </w:r>
      <w:r>
        <w:rPr>
          <w:rFonts w:hint="eastAsia" w:ascii="Times New Roman" w:hAnsi="Times New Roman" w:cs="宋体"/>
          <w:kern w:val="1"/>
          <w:szCs w:val="21"/>
        </w:rPr>
        <w:t>、消费税征收环节后移的制度逻辑及问题研究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56</w:t>
      </w:r>
      <w:r>
        <w:rPr>
          <w:rFonts w:hint="eastAsia" w:ascii="Times New Roman" w:hAnsi="Times New Roman" w:cs="宋体"/>
          <w:kern w:val="1"/>
          <w:szCs w:val="21"/>
        </w:rPr>
        <w:t>、数据交易课税问题研究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57</w:t>
      </w:r>
      <w:r>
        <w:rPr>
          <w:rFonts w:hint="eastAsia" w:ascii="Times New Roman" w:hAnsi="Times New Roman" w:cs="宋体"/>
          <w:kern w:val="1"/>
          <w:szCs w:val="21"/>
        </w:rPr>
        <w:t>、企业破产清算过程中税收问题研究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58</w:t>
      </w:r>
      <w:r>
        <w:rPr>
          <w:rFonts w:hint="eastAsia" w:ascii="Times New Roman" w:hAnsi="Times New Roman" w:cs="宋体"/>
          <w:kern w:val="1"/>
          <w:szCs w:val="21"/>
        </w:rPr>
        <w:t>、全球反税基侵蚀规则立法的问题研究与中国做法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59</w:t>
      </w:r>
      <w:r>
        <w:rPr>
          <w:rFonts w:hint="eastAsia" w:ascii="Times New Roman" w:hAnsi="Times New Roman" w:cs="宋体"/>
          <w:kern w:val="1"/>
          <w:szCs w:val="21"/>
        </w:rPr>
        <w:t>、数字经济背景下平台税收治理问题研究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60</w:t>
      </w:r>
      <w:r>
        <w:rPr>
          <w:rFonts w:hint="eastAsia" w:ascii="Times New Roman" w:hAnsi="Times New Roman" w:cs="宋体"/>
          <w:kern w:val="1"/>
          <w:szCs w:val="21"/>
        </w:rPr>
        <w:t>、突发公共卫生事件的预算保障机制研究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/>
          <w:kern w:val="1"/>
          <w:szCs w:val="21"/>
        </w:rPr>
        <w:t>6</w:t>
      </w:r>
      <w:r>
        <w:rPr>
          <w:kern w:val="1"/>
          <w:szCs w:val="21"/>
        </w:rPr>
        <w:t>1</w:t>
      </w:r>
      <w:r>
        <w:rPr>
          <w:rFonts w:hint="eastAsia"/>
          <w:kern w:val="1"/>
          <w:szCs w:val="21"/>
        </w:rPr>
        <w:t>、</w:t>
      </w:r>
      <w:r>
        <w:rPr>
          <w:rFonts w:hint="eastAsia" w:ascii="Times New Roman" w:hAnsi="Times New Roman" w:cs="宋体"/>
          <w:kern w:val="1"/>
          <w:szCs w:val="21"/>
        </w:rPr>
        <w:t>土地财政的法律思考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/>
          <w:kern w:val="1"/>
          <w:szCs w:val="21"/>
        </w:rPr>
        <w:t>6</w:t>
      </w:r>
      <w:r>
        <w:rPr>
          <w:kern w:val="1"/>
          <w:szCs w:val="21"/>
        </w:rPr>
        <w:t>3</w:t>
      </w:r>
      <w:r>
        <w:rPr>
          <w:rFonts w:hint="eastAsia"/>
          <w:kern w:val="1"/>
          <w:szCs w:val="21"/>
        </w:rPr>
        <w:t>、</w:t>
      </w:r>
      <w:r>
        <w:rPr>
          <w:rFonts w:hint="eastAsia" w:ascii="Times New Roman" w:hAnsi="Times New Roman" w:cs="宋体"/>
          <w:kern w:val="1"/>
          <w:szCs w:val="21"/>
        </w:rPr>
        <w:t>结构化减税之我见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6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、国际税收竞争的法律思考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6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、税收司法研究——以案例为中心的展开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/>
          <w:kern w:val="1"/>
          <w:szCs w:val="21"/>
        </w:rPr>
        <w:t>6</w:t>
      </w:r>
      <w:r>
        <w:rPr>
          <w:kern w:val="1"/>
          <w:szCs w:val="21"/>
        </w:rPr>
        <w:t>6</w:t>
      </w:r>
      <w:r>
        <w:rPr>
          <w:rFonts w:hint="eastAsia"/>
          <w:kern w:val="1"/>
          <w:szCs w:val="21"/>
        </w:rPr>
        <w:t>、</w:t>
      </w:r>
      <w:r>
        <w:rPr>
          <w:rFonts w:hint="eastAsia" w:ascii="Times New Roman" w:hAnsi="Times New Roman" w:cs="宋体"/>
          <w:kern w:val="1"/>
          <w:szCs w:val="21"/>
        </w:rPr>
        <w:t>我国金融管理体制的法律探讨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/>
          <w:kern w:val="1"/>
          <w:szCs w:val="21"/>
        </w:rPr>
        <w:t>6</w:t>
      </w:r>
      <w:r>
        <w:rPr>
          <w:kern w:val="1"/>
          <w:szCs w:val="21"/>
        </w:rPr>
        <w:t>7</w:t>
      </w:r>
      <w:r>
        <w:rPr>
          <w:rFonts w:hint="eastAsia"/>
          <w:kern w:val="1"/>
          <w:szCs w:val="21"/>
        </w:rPr>
        <w:t>、《金融稳定法》之法律思考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6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、中国人民银行职能的变迁与法律完善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69</w:t>
      </w:r>
      <w:r>
        <w:rPr>
          <w:rFonts w:hint="eastAsia" w:ascii="Times New Roman" w:hAnsi="Times New Roman" w:cs="宋体"/>
          <w:kern w:val="1"/>
          <w:szCs w:val="21"/>
        </w:rPr>
        <w:t>、中国人民银行货币政策目标实现的制约因素及其法律分析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、政策性银行的法律思考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71</w:t>
      </w:r>
      <w:r>
        <w:rPr>
          <w:rFonts w:hint="eastAsia" w:ascii="Times New Roman" w:hAnsi="Times New Roman" w:cs="宋体"/>
          <w:kern w:val="1"/>
          <w:szCs w:val="21"/>
        </w:rPr>
        <w:t>、金融资产管理公司的法律思考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、金融监管规则国际化的一些思考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、金融监管体制的法律思考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、货币政策委员会的法律定位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、关于我国反洗钱的法律思考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、关于建立我国征信系统的法律思考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、关于利率市场化的法律思考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、关于国有商业银行的法律思考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、试论金融创新与审慎经营规则的法律协调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80</w:t>
      </w:r>
      <w:r>
        <w:rPr>
          <w:rFonts w:hint="eastAsia" w:ascii="Times New Roman" w:hAnsi="Times New Roman" w:cs="宋体"/>
          <w:kern w:val="1"/>
          <w:szCs w:val="21"/>
        </w:rPr>
        <w:t>、关于互联网金融的法律思考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</w:t>
      </w:r>
      <w:r>
        <w:rPr>
          <w:rFonts w:ascii="Times New Roman" w:hAnsi="Times New Roman" w:cs="宋体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、关于银行业资产负债比例管理的法律思考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82</w:t>
      </w:r>
      <w:r>
        <w:rPr>
          <w:rFonts w:hint="eastAsia" w:ascii="Times New Roman" w:hAnsi="Times New Roman" w:cs="宋体"/>
          <w:kern w:val="1"/>
          <w:szCs w:val="21"/>
        </w:rPr>
        <w:t>、我国金融业进一步开放的经济法思考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、系统性金融风险防范的经济法思考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、基于金融腐败的金融风险之法律思考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kern w:val="1"/>
          <w:szCs w:val="21"/>
        </w:rPr>
        <w:t>85</w:t>
      </w:r>
      <w:r>
        <w:rPr>
          <w:rFonts w:hint="eastAsia"/>
          <w:kern w:val="1"/>
          <w:szCs w:val="21"/>
        </w:rPr>
        <w:t>、</w:t>
      </w:r>
      <w:r>
        <w:rPr>
          <w:rFonts w:hint="eastAsia" w:ascii="Times New Roman" w:hAnsi="Times New Roman" w:cs="宋体"/>
          <w:kern w:val="1"/>
          <w:szCs w:val="21"/>
        </w:rPr>
        <w:t>数字货币(人民币)的法律逻辑：国家主权与安全性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86</w:t>
      </w:r>
      <w:r>
        <w:rPr>
          <w:rFonts w:hint="eastAsia" w:ascii="Times New Roman" w:hAnsi="Times New Roman" w:cs="宋体"/>
          <w:kern w:val="1"/>
          <w:szCs w:val="21"/>
        </w:rPr>
        <w:t>、法币的数字化与数字化的法币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ascii="Times New Roman" w:hAnsi="Times New Roman" w:cs="宋体"/>
          <w:kern w:val="1"/>
          <w:szCs w:val="21"/>
        </w:rPr>
        <w:t>87</w:t>
      </w:r>
      <w:r>
        <w:rPr>
          <w:rFonts w:hint="eastAsia" w:ascii="Times New Roman" w:hAnsi="Times New Roman" w:cs="宋体"/>
          <w:kern w:val="1"/>
          <w:szCs w:val="21"/>
        </w:rPr>
        <w:t>、宏观审慎政策的目标与工具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、货币政策与宏观审慎政策的比较研究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、宏观审慎管理与微观审慎管理的比较研究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90</w:t>
      </w:r>
      <w:r>
        <w:rPr>
          <w:rFonts w:hint="eastAsia"/>
          <w:kern w:val="1"/>
          <w:szCs w:val="21"/>
        </w:rPr>
        <w:t>、</w:t>
      </w:r>
      <w:r>
        <w:rPr>
          <w:rFonts w:hint="eastAsia" w:ascii="Times New Roman" w:hAnsi="Times New Roman" w:cs="宋体"/>
          <w:kern w:val="1"/>
          <w:szCs w:val="21"/>
        </w:rPr>
        <w:t>我国汇率政策的法律思考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/>
          <w:kern w:val="1"/>
          <w:szCs w:val="21"/>
        </w:rPr>
        <w:t>9</w:t>
      </w:r>
      <w:r>
        <w:rPr>
          <w:kern w:val="1"/>
          <w:szCs w:val="21"/>
        </w:rPr>
        <w:t>1</w:t>
      </w:r>
      <w:r>
        <w:rPr>
          <w:rFonts w:hint="eastAsia"/>
          <w:kern w:val="1"/>
          <w:szCs w:val="21"/>
        </w:rPr>
        <w:t>、</w:t>
      </w:r>
      <w:r>
        <w:rPr>
          <w:rFonts w:hint="eastAsia" w:ascii="Times New Roman" w:hAnsi="Times New Roman" w:cs="宋体"/>
          <w:kern w:val="1"/>
          <w:szCs w:val="21"/>
        </w:rPr>
        <w:t>我国外汇管理制度的变迁与法律完善</w:t>
      </w:r>
    </w:p>
    <w:p>
      <w:pPr>
        <w:spacing w:line="360" w:lineRule="auto"/>
        <w:jc w:val="left"/>
        <w:rPr>
          <w:rFonts w:ascii="Times New Roman" w:hAnsi="Times New Roman"/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92</w:t>
      </w:r>
      <w:r>
        <w:rPr>
          <w:rFonts w:hint="eastAsia" w:ascii="Times New Roman" w:hAnsi="Times New Roman"/>
          <w:kern w:val="1"/>
          <w:szCs w:val="21"/>
        </w:rPr>
        <w:t>、</w:t>
      </w:r>
      <w:r>
        <w:rPr>
          <w:rFonts w:hint="eastAsia" w:ascii="Times New Roman" w:hAnsi="Times New Roman" w:cs="宋体"/>
          <w:kern w:val="1"/>
          <w:szCs w:val="21"/>
        </w:rPr>
        <w:t>国有资产的法律保护</w:t>
      </w:r>
    </w:p>
    <w:p>
      <w:pPr>
        <w:pStyle w:val="2"/>
        <w:bidi w:val="0"/>
      </w:pPr>
      <w:r>
        <w:rPr>
          <w:rFonts w:hint="eastAsia"/>
        </w:rPr>
        <w:t>四、房地产法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、土地调控的法律思考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、住房调控的法律思考</w:t>
      </w:r>
      <w:r>
        <w:rPr>
          <w:rFonts w:ascii="Times New Roman" w:hAnsi="Times New Roman"/>
          <w:kern w:val="1"/>
          <w:szCs w:val="21"/>
        </w:rPr>
        <w:t xml:space="preserve"> 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3、耕地保护制度研究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4、土地利用规划立法的思考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5、我国房地产业立法的实践与完善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6、我国城市发展的现状、问题和法律对策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7、集约、节约用地的法律思考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8、关于土地用途管制制度之法律研究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9、关于建设用地有偿使用制度之法律研究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、关于建立统一土地市场的法律思考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11</w:t>
      </w:r>
      <w:r>
        <w:rPr>
          <w:rFonts w:hint="eastAsia" w:ascii="Times New Roman" w:hAnsi="Times New Roman" w:cs="宋体"/>
          <w:kern w:val="1"/>
          <w:szCs w:val="21"/>
        </w:rPr>
        <w:t>、土地违法行为的特点与对策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12</w:t>
      </w:r>
      <w:r>
        <w:rPr>
          <w:rFonts w:hint="eastAsia" w:ascii="Times New Roman" w:hAnsi="Times New Roman" w:cs="宋体"/>
          <w:kern w:val="1"/>
          <w:szCs w:val="21"/>
        </w:rPr>
        <w:t>、建设用地规划管理若干（几个、一些）问题的法律思考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、风景区建设若干（几个、一些）问题的法律思考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、关于国土空间规划的效力问题研究（以城市规划为主）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、城市地下空间开发利用若干（几个、一些）问题的法律思考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16</w:t>
      </w:r>
      <w:r>
        <w:rPr>
          <w:rFonts w:hint="eastAsia" w:ascii="Times New Roman" w:hAnsi="Times New Roman" w:cs="宋体"/>
          <w:kern w:val="1"/>
          <w:szCs w:val="21"/>
        </w:rPr>
        <w:t>、我国城市地下管网建设的现状、问题和法律对策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、经济开发区建设若干（几个、一些）问题的法律思考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、西部开发中土地管理若干（几个、一些）问题的法律思考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1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、关于公共（公益）用地与经营性（私益）用地的法律思考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20</w:t>
      </w:r>
      <w:r>
        <w:rPr>
          <w:rFonts w:hint="eastAsia" w:ascii="Times New Roman" w:hAnsi="Times New Roman" w:cs="宋体"/>
          <w:kern w:val="1"/>
          <w:szCs w:val="21"/>
        </w:rPr>
        <w:t>、土地出让和转让的法律调整——兼评最高法院法释</w:t>
      </w:r>
      <w:r>
        <w:rPr>
          <w:rFonts w:ascii="Times New Roman" w:hAnsi="Times New Roman"/>
          <w:kern w:val="1"/>
          <w:szCs w:val="21"/>
        </w:rPr>
        <w:t>[2005]5</w:t>
      </w:r>
      <w:r>
        <w:rPr>
          <w:rFonts w:hint="eastAsia" w:ascii="Times New Roman" w:hAnsi="Times New Roman" w:cs="宋体"/>
          <w:kern w:val="1"/>
          <w:szCs w:val="21"/>
        </w:rPr>
        <w:t>号相关条款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21</w:t>
      </w:r>
      <w:r>
        <w:rPr>
          <w:rFonts w:hint="eastAsia" w:ascii="Times New Roman" w:hAnsi="Times New Roman" w:cs="宋体"/>
          <w:kern w:val="1"/>
          <w:szCs w:val="21"/>
        </w:rPr>
        <w:t>、私人能否作为土地出让中的受让人？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22</w:t>
      </w:r>
      <w:r>
        <w:rPr>
          <w:rFonts w:hint="eastAsia" w:ascii="Times New Roman" w:hAnsi="Times New Roman" w:cs="宋体"/>
          <w:kern w:val="1"/>
          <w:szCs w:val="21"/>
        </w:rPr>
        <w:t>、农村集体土地能否直接进行房地产开发经营？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23</w:t>
      </w:r>
      <w:r>
        <w:rPr>
          <w:rFonts w:hint="eastAsia" w:ascii="Times New Roman" w:hAnsi="Times New Roman" w:cs="宋体"/>
          <w:kern w:val="1"/>
          <w:szCs w:val="21"/>
        </w:rPr>
        <w:t>、土地出让若干（几个、一些）问题的法律思考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24</w:t>
      </w:r>
      <w:r>
        <w:rPr>
          <w:rFonts w:hint="eastAsia" w:ascii="Times New Roman" w:hAnsi="Times New Roman" w:cs="宋体"/>
          <w:kern w:val="1"/>
          <w:szCs w:val="21"/>
        </w:rPr>
        <w:t>、土地挂牌出让几个（一些）问题的法律思考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25</w:t>
      </w:r>
      <w:r>
        <w:rPr>
          <w:rFonts w:hint="eastAsia" w:ascii="Times New Roman" w:hAnsi="Times New Roman" w:cs="宋体"/>
          <w:kern w:val="1"/>
          <w:szCs w:val="21"/>
        </w:rPr>
        <w:t>、土地协议出让几个（一些）问题的法律思考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26</w:t>
      </w:r>
      <w:r>
        <w:rPr>
          <w:rFonts w:hint="eastAsia" w:ascii="Times New Roman" w:hAnsi="Times New Roman" w:cs="宋体"/>
          <w:kern w:val="1"/>
          <w:szCs w:val="21"/>
        </w:rPr>
        <w:t>、国有土地使用权划拨若干（几个、一些）问题的法律思考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27</w:t>
      </w:r>
      <w:r>
        <w:rPr>
          <w:rFonts w:hint="eastAsia" w:ascii="Times New Roman" w:hAnsi="Times New Roman" w:cs="宋体"/>
          <w:kern w:val="1"/>
          <w:szCs w:val="21"/>
        </w:rPr>
        <w:t>、国有企业改革中划拨土地使用权处置的相关问题与法律对策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28</w:t>
      </w:r>
      <w:r>
        <w:rPr>
          <w:rFonts w:hint="eastAsia" w:ascii="Times New Roman" w:hAnsi="Times New Roman" w:cs="宋体"/>
          <w:kern w:val="1"/>
          <w:szCs w:val="21"/>
        </w:rPr>
        <w:t>、国有土地租赁若干（几个、一些）问题的法律思考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29</w:t>
      </w:r>
      <w:r>
        <w:rPr>
          <w:rFonts w:hint="eastAsia" w:ascii="Times New Roman" w:hAnsi="Times New Roman" w:cs="宋体"/>
          <w:kern w:val="1"/>
          <w:szCs w:val="21"/>
        </w:rPr>
        <w:t>、关于国有土地闲置的法律研究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、土地储备制度法律研究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、关于土地出让年限的法律思考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32</w:t>
      </w:r>
      <w:r>
        <w:rPr>
          <w:rFonts w:hint="eastAsia" w:ascii="Times New Roman" w:hAnsi="Times New Roman" w:cs="宋体"/>
          <w:kern w:val="1"/>
          <w:szCs w:val="21"/>
        </w:rPr>
        <w:t>、关于土地出让期满后地上物处理的法律思考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、物业管理若干（几个、一些）问题的法律思考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34</w:t>
      </w:r>
      <w:r>
        <w:rPr>
          <w:rFonts w:hint="eastAsia" w:ascii="Times New Roman" w:hAnsi="Times New Roman" w:cs="宋体"/>
          <w:kern w:val="1"/>
          <w:szCs w:val="21"/>
        </w:rPr>
        <w:t>、住宅立法若干（几个、一些）问题的思考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35</w:t>
      </w:r>
      <w:r>
        <w:rPr>
          <w:rFonts w:hint="eastAsia" w:ascii="Times New Roman" w:hAnsi="Times New Roman" w:cs="宋体"/>
          <w:kern w:val="1"/>
          <w:szCs w:val="21"/>
        </w:rPr>
        <w:t>、住房公积金制度研究——以监管为视角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、住房公积金贷款的法律思考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、业主自治法律问题研究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、商品房价格构成的法律思考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3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、地价款构成的法律思考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、商品房买卖合同纠纷的法律思考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、关于商品房预售及预售商品房转让的法律思考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、商品房预售模式与现售模式的法律选择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、房地产征收法律制度研究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、《国有土地上房屋征收与补偿条例》评析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、集体土地征收与补偿的法律思考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46</w:t>
      </w:r>
      <w:r>
        <w:rPr>
          <w:rFonts w:hint="eastAsia" w:ascii="Times New Roman" w:hAnsi="Times New Roman" w:cs="宋体"/>
          <w:kern w:val="1"/>
          <w:szCs w:val="21"/>
        </w:rPr>
        <w:t>、房屋租赁法律问题研究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7</w:t>
      </w:r>
      <w:r>
        <w:rPr>
          <w:rFonts w:hint="eastAsia" w:ascii="Times New Roman" w:hAnsi="Times New Roman" w:cs="宋体"/>
          <w:kern w:val="1"/>
          <w:szCs w:val="21"/>
        </w:rPr>
        <w:t>、房地产抵押法律问题研究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48</w:t>
      </w:r>
      <w:r>
        <w:rPr>
          <w:rFonts w:hint="eastAsia" w:ascii="Times New Roman" w:hAnsi="Times New Roman" w:cs="宋体"/>
          <w:kern w:val="1"/>
          <w:szCs w:val="21"/>
        </w:rPr>
        <w:t>、试论不动产（房地产）统一登记制度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4</w:t>
      </w:r>
      <w:r>
        <w:rPr>
          <w:rFonts w:ascii="Times New Roman" w:hAnsi="Times New Roman" w:cs="宋体"/>
          <w:kern w:val="1"/>
          <w:szCs w:val="21"/>
        </w:rPr>
        <w:t>9</w:t>
      </w:r>
      <w:r>
        <w:rPr>
          <w:rFonts w:hint="eastAsia" w:ascii="Times New Roman" w:hAnsi="Times New Roman" w:cs="宋体"/>
          <w:kern w:val="1"/>
          <w:szCs w:val="21"/>
        </w:rPr>
        <w:t>、关于不动产（房地产）登记的类型研究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</w:t>
      </w:r>
      <w:r>
        <w:rPr>
          <w:rFonts w:ascii="Times New Roman" w:hAnsi="Times New Roman" w:cs="宋体"/>
          <w:kern w:val="1"/>
          <w:szCs w:val="21"/>
        </w:rPr>
        <w:t>0</w:t>
      </w:r>
      <w:r>
        <w:rPr>
          <w:rFonts w:hint="eastAsia" w:ascii="Times New Roman" w:hAnsi="Times New Roman" w:cs="宋体"/>
          <w:kern w:val="1"/>
          <w:szCs w:val="21"/>
        </w:rPr>
        <w:t>、关于土地登记若干问题的法律思考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</w:t>
      </w:r>
      <w:r>
        <w:rPr>
          <w:rFonts w:ascii="Times New Roman" w:hAnsi="Times New Roman" w:cs="宋体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、关于预告登记的法律思考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52</w:t>
      </w:r>
      <w:r>
        <w:rPr>
          <w:rFonts w:hint="eastAsia" w:ascii="Times New Roman" w:hAnsi="Times New Roman" w:cs="宋体"/>
          <w:kern w:val="1"/>
          <w:szCs w:val="21"/>
        </w:rPr>
        <w:t>、关于房地产产权登记中致人损害的法律责任问题研究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</w:t>
      </w:r>
      <w:r>
        <w:rPr>
          <w:rFonts w:ascii="Times New Roman" w:hAnsi="Times New Roman" w:cs="宋体"/>
          <w:kern w:val="1"/>
          <w:szCs w:val="21"/>
        </w:rPr>
        <w:t>3</w:t>
      </w:r>
      <w:r>
        <w:rPr>
          <w:rFonts w:hint="eastAsia" w:ascii="Times New Roman" w:hAnsi="Times New Roman" w:cs="宋体"/>
          <w:kern w:val="1"/>
          <w:szCs w:val="21"/>
        </w:rPr>
        <w:t>、房地产行政管理体制的法律思考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</w:t>
      </w:r>
      <w:r>
        <w:rPr>
          <w:rFonts w:ascii="Times New Roman" w:hAnsi="Times New Roman" w:cs="宋体"/>
          <w:kern w:val="1"/>
          <w:szCs w:val="21"/>
        </w:rPr>
        <w:t>4</w:t>
      </w:r>
      <w:r>
        <w:rPr>
          <w:rFonts w:hint="eastAsia" w:ascii="Times New Roman" w:hAnsi="Times New Roman" w:cs="宋体"/>
          <w:kern w:val="1"/>
          <w:szCs w:val="21"/>
        </w:rPr>
        <w:t>、我国经济适用房（或廉租房）制度研究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</w:t>
      </w:r>
      <w:r>
        <w:rPr>
          <w:rFonts w:ascii="Times New Roman" w:hAnsi="Times New Roman" w:cs="宋体"/>
          <w:kern w:val="1"/>
          <w:szCs w:val="21"/>
        </w:rPr>
        <w:t>5</w:t>
      </w:r>
      <w:r>
        <w:rPr>
          <w:rFonts w:hint="eastAsia" w:ascii="Times New Roman" w:hAnsi="Times New Roman" w:cs="宋体"/>
          <w:kern w:val="1"/>
          <w:szCs w:val="21"/>
        </w:rPr>
        <w:t>、房地产开发企业资质管理的法律思考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</w:t>
      </w:r>
      <w:r>
        <w:rPr>
          <w:rFonts w:ascii="Times New Roman" w:hAnsi="Times New Roman" w:cs="宋体"/>
          <w:kern w:val="1"/>
          <w:szCs w:val="21"/>
        </w:rPr>
        <w:t>6</w:t>
      </w:r>
      <w:r>
        <w:rPr>
          <w:rFonts w:hint="eastAsia" w:ascii="Times New Roman" w:hAnsi="Times New Roman" w:cs="宋体"/>
          <w:kern w:val="1"/>
          <w:szCs w:val="21"/>
        </w:rPr>
        <w:t>、关于建设工程质量法律责任问题研究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57</w:t>
      </w:r>
      <w:r>
        <w:rPr>
          <w:rFonts w:hint="eastAsia" w:ascii="Times New Roman" w:hAnsi="Times New Roman" w:cs="宋体"/>
          <w:kern w:val="1"/>
          <w:szCs w:val="21"/>
        </w:rPr>
        <w:t>、房地产问题：政策与法律调整的关系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5</w:t>
      </w:r>
      <w:r>
        <w:rPr>
          <w:rFonts w:ascii="Times New Roman" w:hAnsi="Times New Roman" w:cs="宋体"/>
          <w:kern w:val="1"/>
          <w:szCs w:val="21"/>
        </w:rPr>
        <w:t>8</w:t>
      </w:r>
      <w:r>
        <w:rPr>
          <w:rFonts w:hint="eastAsia" w:ascii="Times New Roman" w:hAnsi="Times New Roman" w:cs="宋体"/>
          <w:kern w:val="1"/>
          <w:szCs w:val="21"/>
        </w:rPr>
        <w:t>、</w:t>
      </w:r>
      <w:r>
        <w:rPr>
          <w:rFonts w:ascii="Times New Roman" w:hAnsi="Times New Roman"/>
          <w:kern w:val="1"/>
          <w:szCs w:val="21"/>
        </w:rPr>
        <w:t>“</w:t>
      </w:r>
      <w:r>
        <w:rPr>
          <w:rFonts w:hint="eastAsia" w:ascii="Times New Roman" w:hAnsi="Times New Roman" w:cs="宋体"/>
          <w:kern w:val="1"/>
          <w:szCs w:val="21"/>
        </w:rPr>
        <w:t>小产权房</w:t>
      </w:r>
      <w:r>
        <w:rPr>
          <w:rFonts w:ascii="Times New Roman" w:hAnsi="Times New Roman"/>
          <w:kern w:val="1"/>
          <w:szCs w:val="21"/>
        </w:rPr>
        <w:t>”</w:t>
      </w:r>
      <w:r>
        <w:rPr>
          <w:rFonts w:hint="eastAsia" w:ascii="Times New Roman" w:hAnsi="Times New Roman" w:cs="宋体"/>
          <w:kern w:val="1"/>
          <w:szCs w:val="21"/>
        </w:rPr>
        <w:t>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59</w:t>
      </w:r>
      <w:r>
        <w:rPr>
          <w:rFonts w:hint="eastAsia" w:ascii="Times New Roman" w:hAnsi="Times New Roman" w:cs="宋体"/>
          <w:kern w:val="1"/>
          <w:szCs w:val="21"/>
        </w:rPr>
        <w:t>、关于土地发展权的法律思考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rFonts w:ascii="Times New Roman" w:hAnsi="Times New Roman"/>
          <w:kern w:val="1"/>
          <w:szCs w:val="21"/>
        </w:rPr>
        <w:t>60</w:t>
      </w:r>
      <w:r>
        <w:rPr>
          <w:rFonts w:hint="eastAsia" w:ascii="Times New Roman" w:hAnsi="Times New Roman" w:cs="宋体"/>
          <w:kern w:val="1"/>
          <w:szCs w:val="21"/>
        </w:rPr>
        <w:t>、关于宅基地使用权取得与流转的法律思考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6</w:t>
      </w:r>
      <w:r>
        <w:rPr>
          <w:rFonts w:ascii="Times New Roman" w:hAnsi="Times New Roman" w:cs="宋体"/>
          <w:kern w:val="1"/>
          <w:szCs w:val="21"/>
        </w:rPr>
        <w:t>1</w:t>
      </w:r>
      <w:r>
        <w:rPr>
          <w:rFonts w:hint="eastAsia" w:ascii="Times New Roman" w:hAnsi="Times New Roman" w:cs="宋体"/>
          <w:kern w:val="1"/>
          <w:szCs w:val="21"/>
        </w:rPr>
        <w:t>、关于家庭联产土地承包经营权分离的法律思考</w:t>
      </w:r>
    </w:p>
    <w:p>
      <w:pPr>
        <w:spacing w:line="360" w:lineRule="auto"/>
        <w:jc w:val="left"/>
        <w:rPr>
          <w:rFonts w:ascii="Times New Roman" w:hAnsi="Times New Roman" w:cs="宋体"/>
          <w:kern w:val="1"/>
          <w:szCs w:val="21"/>
        </w:rPr>
      </w:pPr>
      <w:r>
        <w:rPr>
          <w:rFonts w:hint="eastAsia" w:ascii="Times New Roman" w:hAnsi="Times New Roman" w:cs="宋体"/>
          <w:kern w:val="1"/>
          <w:szCs w:val="21"/>
        </w:rPr>
        <w:t>6</w:t>
      </w:r>
      <w:r>
        <w:rPr>
          <w:rFonts w:ascii="Times New Roman" w:hAnsi="Times New Roman" w:cs="宋体"/>
          <w:kern w:val="1"/>
          <w:szCs w:val="21"/>
        </w:rPr>
        <w:t>2</w:t>
      </w:r>
      <w:r>
        <w:rPr>
          <w:rFonts w:hint="eastAsia" w:ascii="Times New Roman" w:hAnsi="Times New Roman" w:cs="宋体"/>
          <w:kern w:val="1"/>
          <w:szCs w:val="21"/>
        </w:rPr>
        <w:t>、</w:t>
      </w:r>
      <w:r>
        <w:rPr>
          <w:rFonts w:hint="eastAsia"/>
          <w:kern w:val="1"/>
          <w:szCs w:val="21"/>
        </w:rPr>
        <w:t>城市新区的规划划定与建设开发的法律思考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6</w:t>
      </w:r>
      <w:r>
        <w:rPr>
          <w:rFonts w:hint="eastAsia"/>
          <w:kern w:val="1"/>
          <w:szCs w:val="21"/>
        </w:rPr>
        <w:t>3、关于集体经营性建设用地的法律思考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6</w:t>
      </w:r>
      <w:r>
        <w:rPr>
          <w:rFonts w:hint="eastAsia"/>
          <w:kern w:val="1"/>
          <w:szCs w:val="21"/>
        </w:rPr>
        <w:t>4、乡村建设与城市建设(或国家建设)之用地管理的比较研究与结论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6</w:t>
      </w:r>
      <w:r>
        <w:rPr>
          <w:rFonts w:hint="eastAsia"/>
          <w:kern w:val="1"/>
          <w:szCs w:val="21"/>
        </w:rPr>
        <w:t>5、房地产的金融属性与风险防范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6</w:t>
      </w:r>
      <w:r>
        <w:rPr>
          <w:rFonts w:hint="eastAsia"/>
          <w:kern w:val="1"/>
          <w:szCs w:val="21"/>
        </w:rPr>
        <w:t>6、基于恒大等大型房地产公司“爆雷"的法律思考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6</w:t>
      </w:r>
      <w:r>
        <w:rPr>
          <w:rFonts w:hint="eastAsia"/>
          <w:kern w:val="1"/>
          <w:szCs w:val="21"/>
        </w:rPr>
        <w:t>7、建设工程合同的招投标缔约模式:强制竞价与合同自由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6</w:t>
      </w:r>
      <w:r>
        <w:rPr>
          <w:rFonts w:hint="eastAsia"/>
          <w:kern w:val="1"/>
          <w:szCs w:val="21"/>
        </w:rPr>
        <w:t>8、建设工程合同（总）承包后的转包、分包之违法行为的法律探讨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6</w:t>
      </w:r>
      <w:r>
        <w:rPr>
          <w:rFonts w:hint="eastAsia"/>
          <w:kern w:val="1"/>
          <w:szCs w:val="21"/>
        </w:rPr>
        <w:t>9、建设工程项目管理中农民工利益的法律保护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7</w:t>
      </w:r>
      <w:r>
        <w:rPr>
          <w:rFonts w:hint="eastAsia"/>
          <w:kern w:val="1"/>
          <w:szCs w:val="21"/>
        </w:rPr>
        <w:t>0、建设工程质量纠纷案件的难点与划解机制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7</w:t>
      </w:r>
      <w:r>
        <w:rPr>
          <w:rFonts w:hint="eastAsia"/>
          <w:kern w:val="1"/>
          <w:szCs w:val="21"/>
        </w:rPr>
        <w:t>1、不动产征收制度的模式：分离抑或统一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7</w:t>
      </w:r>
      <w:r>
        <w:rPr>
          <w:rFonts w:hint="eastAsia"/>
          <w:kern w:val="1"/>
          <w:szCs w:val="21"/>
        </w:rPr>
        <w:t>2、关于业主车位（车库）权益的现实冲突与法律保障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7</w:t>
      </w:r>
      <w:r>
        <w:rPr>
          <w:rFonts w:hint="eastAsia"/>
          <w:kern w:val="1"/>
          <w:szCs w:val="21"/>
        </w:rPr>
        <w:t>3、土地公有制下公民居住地权（或墓地权）的制度选择：有偿还是无偿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7</w:t>
      </w:r>
      <w:r>
        <w:rPr>
          <w:rFonts w:hint="eastAsia"/>
          <w:kern w:val="1"/>
          <w:szCs w:val="21"/>
        </w:rPr>
        <w:t>4、住宅建设用地使用权期限届满后自动续期的法律解读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7</w:t>
      </w:r>
      <w:r>
        <w:rPr>
          <w:rFonts w:hint="eastAsia"/>
          <w:kern w:val="1"/>
          <w:szCs w:val="21"/>
        </w:rPr>
        <w:t>5、我国房地产税的制度目标、现实困境与实现路径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7</w:t>
      </w:r>
      <w:r>
        <w:rPr>
          <w:rFonts w:hint="eastAsia"/>
          <w:kern w:val="1"/>
          <w:szCs w:val="21"/>
        </w:rPr>
        <w:t>6、国务院下放用地审批权的效率与公平</w:t>
      </w:r>
    </w:p>
    <w:p>
      <w:pPr>
        <w:spacing w:line="360" w:lineRule="auto"/>
        <w:jc w:val="left"/>
        <w:rPr>
          <w:kern w:val="1"/>
          <w:szCs w:val="21"/>
        </w:rPr>
      </w:pPr>
      <w:r>
        <w:rPr>
          <w:kern w:val="1"/>
          <w:szCs w:val="21"/>
        </w:rPr>
        <w:t>7</w:t>
      </w:r>
      <w:r>
        <w:rPr>
          <w:rFonts w:hint="eastAsia"/>
          <w:kern w:val="1"/>
          <w:szCs w:val="21"/>
        </w:rPr>
        <w:t>7、宅基地制度的背景依赖与改革路径</w:t>
      </w:r>
    </w:p>
    <w:p>
      <w:pPr>
        <w:spacing w:line="360" w:lineRule="auto"/>
        <w:jc w:val="left"/>
        <w:rPr>
          <w:rFonts w:hint="eastAsia"/>
          <w:kern w:val="1"/>
          <w:szCs w:val="21"/>
        </w:rPr>
      </w:pPr>
      <w:r>
        <w:rPr>
          <w:kern w:val="1"/>
          <w:szCs w:val="21"/>
        </w:rPr>
        <w:t>7</w:t>
      </w:r>
      <w:r>
        <w:rPr>
          <w:rFonts w:hint="eastAsia"/>
          <w:kern w:val="1"/>
          <w:szCs w:val="21"/>
        </w:rPr>
        <w:t>8、宅基地使用权退出机制的法律探讨</w:t>
      </w:r>
    </w:p>
    <w:p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五、</w:t>
      </w:r>
      <w:r>
        <w:rPr>
          <w:rFonts w:hint="eastAsia"/>
        </w:rPr>
        <w:t>商法学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民商分立：现实问题与立法选择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论法教义学研究方法在商法领域的适用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论商法的理念和价值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论民法与商法的区别——以诚实信用原则为视角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论商法的外观主义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公序良俗原则在商事案件审判中的适用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论国有资本在商法中的主体地位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论商法对公共性的维护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论商法上的保证金制度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论“小商人”的商法规制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论流动摊贩的商法规制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论网络主播的商法规制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论微商的商法规制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论电子商务平台的商事责任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论个体工商户的法律制度完善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论有限合伙人在商事合伙中的法律地位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有限合伙人除名事由研究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论基金的组织治理法律机制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论商法思维与民法思维的区分</w:t>
      </w:r>
    </w:p>
    <w:p>
      <w:pPr>
        <w:numPr>
          <w:ilvl w:val="0"/>
          <w:numId w:val="1"/>
        </w:numPr>
        <w:spacing w:line="360" w:lineRule="auto"/>
        <w:ind w:left="0" w:firstLine="0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论营业权的商法保护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论我国商事登记制度之完善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论合伙企业在商法中的主体地位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 xml:space="preserve">论商事登记制度中的“证照分离” 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论商法视角下“以贷还贷”合同的效力认定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商事登记中的信赖保护研究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商事登记的效力研究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商号转让问题研究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企业形态法定主义研究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合伙企业内部决议效力研究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“名为合伙、实为借贷”的认定标准与裁判逻辑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合伙企业责任承担规则研究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个体工商户的法律地位研究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个人独资企业转让问题研究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企业转让合同研究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企业承包经营的法律结构与合同效力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一人公司放松管制的法律思考——结合《公司法修订的征求意见稿》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我国公司设立无效制度的建构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破产程序中公司法人人格否认制度研究</w:t>
      </w:r>
    </w:p>
    <w:p>
      <w:pPr>
        <w:numPr>
          <w:ilvl w:val="0"/>
          <w:numId w:val="1"/>
        </w:numPr>
        <w:spacing w:line="360" w:lineRule="auto"/>
        <w:ind w:left="0" w:firstLine="0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公司法人人格否认规则在税法中的适用研究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关于公司股东资格认定的法律思考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论我国公司资本制度的立法选择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党组织参与国企公司治理的路径与法律保障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论我国公司法人治理结构的立法完善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公司股东会会议制度研究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公司董事会会议制度研究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有限公司中股东压迫的认定与救济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有限公司清算义务人“怠于履行义务”认定研究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论股份有限公司发起人的法律责任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论董事对公司的法律责任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论董事对第三人的法律责任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论公司法与证券法的立法协调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董事违反忠实义务的行为类型及民事责任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董事对公司勤勉义务的判断标准研究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我国独立董事承担民事责任的范围及其限度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公司法人财产权研究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ESG责任投资理念与信义义务的冲突和协调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公司股东出资制度研究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《公司法》修订语境下监事会制度架构变革研究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论公司法对公司债权人的法律保护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公司分立情形下的债权人保护研究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论公司对外代表权配置的失衡与改革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公司法定代表人越权担保的民事责任研究——代表行为与合同行为的区分为视角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我国公司解散登记制度的建构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公司股权转让中的法律问题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论关联交易的法律规制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论对母子公司关系的法律调整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论公司章程的契约性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论有限责任公司股权继承问题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夫妻共有股权的归属、行使及分割问题研究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公司股东出资责任之完善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论有限责任公司章程的法律性质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论一人公司信用风险之防范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中国公司在境外上市的法律壁垒与对策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论美国有限责任公司（LLC）在我国的适用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关于我国公司特别清算法律制度的构建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论CEO的法律地位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董事会决议中的弃权票性质认定和责任承担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公司决议不成立司法实证研究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公司决议瑕疵中的商事信赖保护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决议的法律行为属性论争与证成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伪造股东签名的公司决议行为效力研究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论公司决议的补正——法律行为理论的应用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公司捐赠法律问题研究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企业改制中工会持股的法律问题分析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股东知情权相关问题研究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有限责任公司回购股份问题研究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论隐名股东的地位和隐名投资合同的效力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设立中公司法律地位研究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公司发起人法律规制研究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论有限责任公司股东优先购买权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论董事责任保险制度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论公司股东的知情权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论“打破公司僵局”制度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论董事自我交易的法律规制</w:t>
      </w:r>
    </w:p>
    <w:p>
      <w:pPr>
        <w:numPr>
          <w:ilvl w:val="0"/>
          <w:numId w:val="1"/>
        </w:numPr>
        <w:spacing w:line="360" w:lineRule="auto"/>
        <w:ind w:left="0" w:firstLine="0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商事判断规则立法例研究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论以劳务出资的可行性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论有限责任公司的人合性与资合性及立法趋势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股权投资协议中对赌条款的效力分析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论合同法权利与公司法义务的冲突——《九民纪要》对赌协议相关规则研究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股东除名制度之完善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浅议股东出资不足承担补充责任问题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隐名投资中股权强制执行问题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股东优先购买权侵害救济分析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股东出资责任加速到期制度研究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试论虚拟股股东法律地位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试论我国公司减资制度不足及完善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公司瑕疵设立的法律规制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股权回购请求权解析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公司双重股权结构之制度建构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试论“人走股留”之章程条款效力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先公司交易之效力研究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公司内部决议程序瑕疵与对外担保效力之关系辨析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浅析“一股二卖”的法律救济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瑕疵股权转让之法律效力分析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控股股东滥用股东权利及法律规制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浅析有限责任公司中的法定股权回购与约定股权回购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公司注销后的债务责任承担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公司股东查账权的行使与救济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公司章程限制股权转让条款的法律效力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股东盈余分配请求权的限制与保护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论职工对公司治理的参与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论金融法的本质与体系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论金融法的调整对象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论金融法中的可持续发展原则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论金融消费者的界定及其权益保护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老龄化背景下我国金融消费者利益保护制度的立法完善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金融市场道德风险的成因与法律对策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试论金融创新与审慎经营规则的法律协调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论中央银行的法律地位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论中国人民银行的法律地位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论我国金融监管协调机制的立法完善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最后贷款人规则研究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中国人民银行货币政策目标实现的制约因素及其法律分析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论我国征信管理制度的立法完善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论我国金融危机应急机制的建立与完善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论人民币法律地位的保护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论电子货币的法律属性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论我国反洗钱制度的立法完善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“自由贸易试验区”外汇管理中的法律问题初探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论我国政策性银行法律制度的完善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商业银行公司治理的若干法律问题研究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论我国商业银行股权管理制度的立法完善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论我国商业银行独立董事制度的完善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论我国商业银行外部监事制度的完善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论存款合同的法律性质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论银行卡业务中的法律关系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论银行卡“盗刷”中的民事责任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论银行卡业务中“凭密码支付”的效力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论信用卡透支中全额支付利息条款的效力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论我国绿色信贷法律制度的构建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浮动抵押贷款的法律金融风险与对策研究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论助学贷款中的法律问题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论商业银行理财业务中的适合性原则的立法完善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商业银行中间业务法律问题研究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我国商业银行信贷资产证券化法律制度研究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商业银行“债转股”的法律思考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商业银行接管制度研究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论我国金融机构破产法律制度的构建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“太大而不能倒”现象的法律分析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商业银行破产的诸法律问题分析——以包商银行破产案件为例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论我国融资性租赁业监管制度的立法完善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论我国财务公司监管制度的立法完善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论我国金融资产管理公司监管制度的立法完善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论民间信用的法律特征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民间借贷若干法律问题研究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论高利贷的法律问题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论“校园贷”中借款人利益的保护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论我国互联网金融监管的法律原则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论我国互联网金融监管体制的不足与立法完善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论非金融机构网络支付监管制度的立法完善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论非金融机构网络支付法律风险的防范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论非金融机构网络支付中“备付金”监管制度的完善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论我国网络借贷监管制度的立法完善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论我国网络借贷信息披露制度的完善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论网络借贷主体间的法律关系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论“奖励众筹”的性质及其监管立法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论我国股权众筹监管制度的立法完善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论我国股权众筹平台监管制度的立法完善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论互联网货币的性质及法律风险防范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消费金融法律问题研究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论我国现阶段金融监管格局的法律问题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论证券违法行为的民事赔偿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对“关联交易”的法律界定与立法完善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新时期债转股工作的法律思考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论我国证券民事赔偿制度之缺陷与完善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证券集团诉讼制度的设想与构建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论证券法之“证券”——以《证券法》第2条为中心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证券发行注册制改革的法律问题研究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论归入权之行使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“宝能收购万科事件”的法律问题综述与反思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上市公司收购若干法律问题研究——兼评新《证券法》之修改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资产证券化的法律结构分析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内幕交易行为的构成要件与分析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“公开发行”认定标准的再思考——兼评《证券法》第9条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上市公司定增中保底条款的法律分析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现阶段“借壳上市”的法律规则分析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“场外配资”的合同性质与司法解决思路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中国存托凭证（CDR）实践运行中的诸法律问题分析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针对“双重股权结构”的证券监管策略分析——以香港特别行政区的实践为例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上市公司股权质押的法律风险与防范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论我国公募房地产信托基金（REITs）的混合型治理及其完善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基金托管人的法律义务分析——“阜兴案”引发的思考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证券发行注册制的本土化问题研究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律师事务所的虚假陈述的民事责任研究——以五洋债案为例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会计师事务所的虚假陈述的民事责任研究——以五洋债案为例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上市公司“私有化”规则的国际立法比较及我国立法的前瞻分析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公司债券公开发行规则的立法完善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股指期货交易利弊的再认识与制度完善——以中国股市的剧烈震荡为讨论背景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“明股实债”案件的认定标准与裁判逻辑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证券投资基金中基金持有人的权益保护问题研究——以金融消费者权益保护为视角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资产证券化监管制度的国际比较与分析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论电子票据纠纷裁判规则的统一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论票据行为与意思自治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论票据行为的独立性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论票据行为的解释原则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论区块链对传统票据流通性的冲击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论期前提示付款的效力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论供应链票据的完全证券属性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论票据法上的善意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论票据原因对于票据权利效力的影响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论期后背书的效力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空白背书的效力分析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票据保证与民事保证的比较分析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回头背书的效力分析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论设质背书后的票据权利的行使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color w:val="222222"/>
          <w:spacing w:val="8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论票据抗辩中人的抗辩的抗辩原因分析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“票据保理”效力的司法认定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论票据时效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论电子票据线下追索的法律效力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论民间贴现的合法化路径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信托法是否应明确信托财产所有权的归属？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受托人的谨慎投资义务标准的构建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受托人违反信义义务行为的民事责任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违反信义义务法律责任的归责原则研究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受托人信息披露义务制度的不足与完善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受托人公平义务的属性与内涵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受托人对第三人责任的范围及其限度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信托受托人有限责任的司法裁判形式研究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信托共同受托人责任制度研究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如何认定“以逃债为目的的信托”？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论信托治理结构的强制与自由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我国信托监察人制度的不足与完善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信托计划参与企业破产重整的法律问题分析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信托受益权的法律性质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论房地产信托中受托人义务的特殊性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论资产管理业务中受托人信义义务的特殊性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信托公司通道业务中信托合同的效力研究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结构化信托中劣后级受益人与优先级受益人差额补足协议效力研究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论家族信托的特殊性及法律规制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家族信托受托人的类型化及其法律规制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论被申请破产设立的信托之有效性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论受托人优先受偿权的边界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信托财产投资时“名股实债”的法律思考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论信托登记的构建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论受托人的营业资格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论慈善信托的监管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慈善信托中受益对象的多层性及其权益保障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破产程序启动原因研究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破产法庭问题研究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破产中未履行合同处置规则研究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破产中加速到期规则研究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破产中金融债权保护研究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破产撤销权问题研究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破产取回权问题研究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破产抵销权问题研究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破产债权人自治研究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破产重整中的信息披露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关联企业合并重整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破产法中的强裁权——</w:t>
      </w:r>
      <w:r>
        <w:rPr>
          <w:rFonts w:hint="eastAsia" w:ascii="宋体" w:hAnsi="宋体" w:cs="宋体"/>
          <w:color w:val="474747"/>
          <w:sz w:val="24"/>
          <w:shd w:val="clear" w:color="auto" w:fill="FFFFFF"/>
        </w:rPr>
        <w:t>《企业破产法》第87条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破产重整与重组联动实施机制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破产财产变价问题研究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破产中建设工程款优先权问题研究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金融机构破产问题研究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我国个人破产制度的建构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论保险合同的法律性质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论保险合同的成立与生效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论人身保险利益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bCs/>
          <w:color w:val="000000"/>
          <w:kern w:val="1"/>
          <w:sz w:val="24"/>
        </w:rPr>
        <w:t>投保人的如实告知义务研究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保险人的说明义务研究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论我国保险法上危险增加的通知义务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论最大诚信原则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论重复保险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论损失补偿原则的适用范围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论保险代位求偿权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论保险条款与格式条款的关系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论中国保险法律的修改与完善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我国保险代理人制度存在的问题及其改进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论董事责任保险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保险条款的性质与司法上的解释规则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论责任保险中的第三人请求权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保险合同疑义利益解释原则研究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论加强保险业监管的法律对策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保险受益权问题研究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人身保险合同转让有关法律问题研究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人身保险合同质押问题研究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论保险人的合同解除权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论保险竞合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保险代位权与委付的比较研究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责任保险赔偿构成要件研究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论保险经纪人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bCs/>
          <w:color w:val="000000"/>
          <w:kern w:val="1"/>
          <w:sz w:val="24"/>
        </w:rPr>
        <w:t>论保险公司的社会责任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论保险欺诈及其法律防范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机动车交通事故责任强制保险若干法律问题研究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保险合同履行若干问题研究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保险法上不可抗辩条款研究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保险法上犹豫期间条款研究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责任保险中的分离原则研究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责任保险之保险利益研究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团体人身保险法律适用研究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保证保险法律适用研究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保险商品销售适合性义务研究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健康保险中等待期间研究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问题保险公司市场退出研究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color w:val="000000"/>
          <w:kern w:val="1"/>
          <w:sz w:val="24"/>
        </w:rPr>
        <w:t>保险保障基金法律制度研究</w:t>
      </w:r>
    </w:p>
    <w:p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六、</w:t>
      </w:r>
      <w:r>
        <w:rPr>
          <w:rFonts w:hint="eastAsia"/>
        </w:rPr>
        <w:t>社会法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1. 论劳动者平等就业权的法律保护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2. 论互联网平台与从业者法律关系的认定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3. 论就业歧视的司法认定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4. 论劳动立法的法典化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5. 论“类劳动者”的法律保护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6. 论劳动关系从属性的认定标准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7. 论后疫情时代新业态劳动者的权益保障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8. 论平台经济从业者社会保险制度的构建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9. 女性就业平等权实现机制研究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10. 《就业促进法》第30条解释研究——以艾滋病歧视案为例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11．农村劳动者平等就业权实现研究——以《就业促进法》第31条为视角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12．论在校大学生兼职劳动权益的法律保护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13．论人工智能时代劳动法的困境与应对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14．论远程劳动的法律适用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15．论用人单位的结社权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16．论劳动者的团结权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17．论劳动者职场个人信息的法律保护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18．集体合同与集体协商的制度关系研究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19．劳动者争议权保障研究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20．论劳动争议处理体制的完善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21．论无固定期限劳动合同法律制度的完善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22．论《职业病防治法》的立法完善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23．职工民主参与权保障研究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24．职业病认定机制研究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25．职业病诊断权垄断反思——以张海超开胸验肺案为例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26．职业病患者权益保护研究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27．用人单位承担职业病预防责任落实机制研究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28．卫生行政部门关于职业病执法责任研究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29．我国工会机制转型研究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30．集体谈判程序及条件研究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31．政府在劳资关系领域职能转变研究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32．在校大学生的劳动者地位研究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33．《经济、社会、文化权利公约》中就业权研究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34．《经济、社会、文化权利公约》集体谈判权研究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35．保险代理员与保险公司的关系研究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36．性骚扰防止机制研究——以工作场所的安全权为视角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37．论职场性骚扰中的雇主责任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38．工会会员权利研究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39．工会不正当劳动行为研究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40．工会不作为责任研究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41．劳务派遣员工的安全权保障研究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42．行业集体谈判研究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43．区域集体劳动制度及功能研究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44．非政府组织在劳动安全权领域的功能研究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45．就业自由与迁徙自由关系研究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46．论劳动法与民法的关系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47．论劳动法的作用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48．论劳动法产生中“公法私法化”过程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49．论国际劳工标准的立法趋势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50．论国际劳工组织在国际劳动立法中的影响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51．论国际劳工标准对各国劳动立法的影响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52．论我国参与国际劳动组织活动的得失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53．论国际劳工组织的“体面劳动”目标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54．论“核心劳工公约”在国际社会的实际影响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55．中国通过国际劳工公约的现状和未来分析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56．国际劳工公约对我国劳动立法影响的评估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57．论劳动法的调整对象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58．劳动关系实证研究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59．论劳动法上附随的社会关系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60．论劳动法调整劳动关系的主体范围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61．论劳动法的地位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62．论社会法、劳动法及社会保障法的相互关系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63．论劳动法的立法目的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64．论保护劳动者权益和建立和谐劳动关系的取舍和统一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65．论劳动法在法律制度上的特点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66．论劳动法与民法、行政法和经济法的关系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67．论劳动法的基本原则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68．论劳动法的体系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69．论劳动法的权利渊源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70．劳动法律关系理论的局限性和弊端研究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71．影响劳动者主体资格的因素研究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72．现行立法对劳动者权利义务规定利弊研究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73．论中华人民共和国公民有劳动的权利和义务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74．用人单位在劳动法上的资格及其法律责任承担的影响研究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75．用人单位指令权研究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76．用人单位指令权行使主体探讨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77．论我国设立工会制度与国际劳工组织相关公约的异同及其影响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78．我国单一制工会体制的利弊分析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79．我国工会罢工权存废研究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80．我国工会法人资格研究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81．论我国现行工会体制的改革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82．我国用人单位团体的立法研究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83．论中国企业联合会作为用人单位团体的资格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84．论人力资源和社会保障机构的改革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85．论公共就业服务中心以及社会保险管理机构的性质和地位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86．劳动合同与相近民事合同关系研究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87．劳动合同立法模式研究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88．论劳动合同的种类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89．劳动合同形式的法律适用研究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90．论劳动合同法定应当具备的条款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91．劳动合同试用期研究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92．劳动合同服务期研究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93．劳动合同续订研究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94．劳动合同中竞业限制条款研究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95．劳动合同签订过程中的缔约过失责任研究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96．劳动合同法和合同法在适用法律上的关系研究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97．劳动合同无效制度和民事合同无效制度的比较研究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98．劳动合同的解除和终止研究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99．劳动合同法定解除和约定解除的相互关系研究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100．劳动合同法定延期和约定延期研究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101．劳动合同法定解除的条件和程序研究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102．劳动合同结束后的经济补偿制度研究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103．非全日制用工的立法研究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104．论劳务派遣制度的现状和改革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105．劳动合同法在立法上的利弊得失研究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106．对我国现行劳动争议处理机制的反思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107．劳动争议仲裁时效制度研究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108．论我国劳动争议调解制度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109．我国灵活就业的现状与法律问题研究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110．论全球化背景下的中国劳动标准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111．论工时制度实施中的问题与对策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112．论劳动诉讼特别法的现状及完善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113．论劳动者休息权的法律保障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114．中国退休制度研究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115．“民工荒”与新生代农民工劳动权利保护研究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116．对实习大学生劳动权益保护的思考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117．工会维护劳动者权益机制研究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118．劳动执法的现实障碍及其对策研究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119．中国集体协商制度运行的现实障碍及其排解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120．论工资清欠的法律保障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121．外地劳动力就业的地方性立法合法性研究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122．论劳动法上的竞业禁止义务——以微软和谷歌公司2005年“李开复案”为例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123．SA8000对我国企业的影响及相关法律完善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124．《高校毕业生就业协议书》的法律性质及其完善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125．劳务派遣中受遣员工权利保护法律问题探讨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126．浅析我国劳动争议处理体制中仲裁前置原则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127．论劳动争议诉讼举证责任分配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128．劳动者公益诉讼制度探析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129．劳动仲裁与劳动诉讼衔接中若干问题之分析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130．论企业破产与劳动者权益的保护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131．企业员工非法跳槽之分析与规制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132．公司高级管理人员劳动权利与义务立法探究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133．浅谈劳动争议仲裁时效中断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134．论我国女性劳动者体面就业法律保障机制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135．WTO体制下的劳工标准问题及中国的应对措施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136．深圳和香港两地欠薪保障法律制度比较研究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137．群体性劳动争议的预防消解与机制建设研究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138．中国内地与香港劳动争议仲裁制度比较研究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139、论共享经济下劳动者身份的界定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140、论劳动合同制度与民事合同制度法律适用的关系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141、论述职工民主管理与集体协商制度的宪法依据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142、论竞业限制违约金的确定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143、论一裁终局适用范围的完善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144、论非全日制劳动者解雇保护制度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145、论非全日制用工劳动报酬支付制度的完善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146、论劳务派遣的“同工同酬”原则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147、社区养老模式法律问题研究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148、论我国养老保险法律制度的完善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149、论非典型劳动关系的法律调整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150、我国民营养老机构法律问题与对策研究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151、论劳动者平等就业权的法律保障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152、论劳动法上“劳动者”的概念、范畴与定位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153、长期护理保险制度的比较与借鉴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154、竞业限制期限法律制度研究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155、论用人单位违纪辞退的条件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156、互联网+背景下劳动法适用问题研究</w:t>
      </w:r>
    </w:p>
    <w:p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七、</w:t>
      </w:r>
      <w:bookmarkStart w:id="0" w:name="_GoBack"/>
      <w:bookmarkEnd w:id="0"/>
      <w:r>
        <w:rPr>
          <w:rFonts w:hint="eastAsia"/>
        </w:rPr>
        <w:t>环境与资源法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论综合生态系统管理理念的法律化——兼谈法律思维的作用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矿产资源开发生态补偿机制的制度缺陷及法律完善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环境法视野下对我国传染病防治法律制度的研究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论伴侣动物福利的法律保护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生态文明语境下的消费者责任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美国环境与健康管理体制研究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对生态文明法律化若干问题的再思考——以地方立法评估结论为研究基础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环境影响后评价的制度基础和法律完善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关于生态补偿正当性的思考：以受补偿主体行为的性质为视角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循环经济视野下的绿色税制建设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生态文明视野下的环境法治变革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文化、信仰和理性：民族环境习惯法重生的三个基点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新农村环境社区治理模式研究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环境行政处罚的按日计罚立法反思与完善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生态文明社会的法律建构——从建设节约型城市立法角度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论光污染的法律规制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生态补偿机制的环境经济学分析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绿色经济与绿色金融法律制度创新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生态文明建设视域下环境法的生态化转向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我国生态补偿制度在环境财政法中的地位研究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法律生态化：生态文明下中国法制建设的路径选择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自然界的道德主体身份探析——实现人类中心主义向非人类中心主义的转变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论生态环境修复责任的司法实现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《城乡规划法》中的环境享有权保障条款研究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城市空间利益分配与环境法的美学功能研究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生态文明与生态治理的法哲学思考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生态文明视野下的环境权研究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生态文明视阈下的企业生态责任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29. 环境污染第三方治理的法律责任研究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从公共信托原则的功能变迁看绿色财产权理论的建构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生态文明建设中的环境伦理法治化探析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从保护生态到经营生态：我国资源法价值观的转向——以《森林法》为例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跨行政区域河流保护立法研究——流域立法文本为分析样本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流域生态共建共享机制必要性探讨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生态环境安全的法律问题初探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企业污染治理行为中“经济人”到“生态人”的转变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节约型社会立法取向初探——以节水型社会建设试点经验为基点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环境侵权惩罚性赔偿制度研究——基于《民法典》有关条文的解释论分析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生态文明建设的刑法保障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综合生态系统管理理论与实践述评——兼论流域生态系统管理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国家自然公园的立法框架和制度建构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生态危机的哲学反思——以人类中心主义为视角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农产品禁止生产区生态补偿机制基础研究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论完善我国节能激励性管制制度的对策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生态补偿的法律定位再探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生态文明建设公众参与机制法律问题研究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我国发展低碳经济的思路与对策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消费行为和生态安全的关系探讨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49.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完善我国森林生态效益补偿机制的探析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论生态文明视野下的环境伦理观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生态文明视野下的环境权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论生态文明与环境法治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我国海洋溢油生态损害的法律救济问题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——以《海洋环境保护法》第90条第2款为中心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生态损害事实及其可填补之类型研究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三峡消落区治理的法律制度构建——以环境法律制度为重心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石漠化防治法律制度模式研究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节能减排评估审查制度探讨——政府•大学•企业相协调的模式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环境法律实施激励机制和实施方案研究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59.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生态文明建设视域下的农业清洁生产路径研究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从生态化角度分析集体林权改革及其完善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转基因食品标识制度的比较研究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我国农村新能源建设法律保障机制探析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我国农村环境保护法制建设的思考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矿产资源开发中的生态补偿问题研究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公共管理背景下我国自然保护区管理法律制度的完善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森林生态补偿的法律完善——从《森林法》相关条文出发的体系性构造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林权改革背景下《森林法》的修改——以林农的权益保障为视角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野生动物致害补偿的法律问题研究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69.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墨西哥重要生态系统用水法律与政策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日本水资源补偿机制对我国的启示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公益林生态效益市场补偿的法律机制初探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环境教育法的特点及实践趋势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论我国《森林法》中集体林权流转制度的不足与完善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论生态环境损害赔偿磋商的程序构建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论我国跨界环境污染纠纷行政调处的适用机制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对我国农业遗传资源生境保护的法律思考——在转基因作物产业化的背景下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从生物多样性保护谈我国《野生动物保护法》的修改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关于“限塑令”的思考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79.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再论动物的有限法律主体地位——为动物权利而抗争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浅析我国《森林法》的修改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关于动物福利立法的伦理学思考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非政府组织在国际环境保护中的地位和作用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生态文明视野下的森林法律制度研究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黑龙江省湿地保护面临的挑战及法律对策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我国湿地保护立法问题研究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国有林产权制度改革探析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对我国自然资源权属问题的思考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北极法律的生态化路径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89.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我国湿地资源保护的法律问题研究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国有森林资源产权制度改革法律问题研究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生物多样性的法律保护机制研究——以CBD和Trips协议为中心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论国土空间规划的法律效力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林地使用权流转的法律探究——以集体林权制度改革为视角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经济危机背景下低碳经济的法制建设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自然保护地体系化背景下国家公园立法研究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流域生态补偿制度初探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论城市总体规划的规范功能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日本自然资源利用与保护立法研究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99.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论控制性详细规划的规范功能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论资源节约型社会的法律保障与构建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略论生态旅游中的草原保护法律制度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论我国生态保护立法及其完善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全球气候变化下的欧盟低碳能源法律政策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综合生态系统管理对我国湿地立法的启示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城市家养动物自由的行政法规制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贸易战与环境污染规制强度关系研究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论《森林法》的修改——从加强公众参与的角度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农村生态环境法制建设思考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109.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澳大利亚保护地法律与实践述评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美国国家公园法律制度及其启示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世界主要国家流域水资源综合管理法律制度探析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海绵城市的法律制度建构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林权抵押与集体林权制度改革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我国森林法修改的研究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《生物入侵防治法》的法律原则/法律制度构想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生态用地的保护对我国建设用地总量控制制度的反思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湿地生态环境保护的法律制度建构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我国生态农村建设的法律保障机制研究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119.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野生保护动物致害补偿制度的构建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我国突发环境事件应急管理法律制度的反思与完善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我国环境保护税法体系的完善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我国西部生态恢复与重建的法律规制探讨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我国湿地保护立法的完善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我国固体废物资源化法律制度完善研究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生态文明视角下兵团新型团场建设环境问题探析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基于主体功能区划自然保护区生态补偿机制之构建完善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论森林生态效益补偿制度的完善——以江西省为例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我国环境财政法的基本价值研究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129.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主要国家动物福利立法概况及启示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生态环境修复司法基地的类型展开和实践运行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绿色消费法律制度研究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两型社会建设与环境法律制度创新——以长株潭城市群为视角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我国自然保护区立法问题研究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我国自然保护区的旅游活动影响及对策研究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草原资源生态补偿法律机制研究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我国湿地保护的类型化保护方案及其法律回应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循环经济促进法律责任研究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论我国人工驯养野生动物的所有权归属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139.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国家公园理念和发展模式辨析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采矿权与林权的冲突与协调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以欧盟及法国法为借鉴建立我国的绿色公共工程采购法律机制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非物质文化遗产法的环境保护功能研究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我国的野生植物所有权制度与野生植物权属管理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我国动物遗传资源立法的现状及其完善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论集体林地所有权的完善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生态金融中的若干法律问题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我国集体林权制度改革的法律解析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农业生物多样性保护法律问题研究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149. 自然保护地立法研究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我国自然保护区保护存在的法律问题及完善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浅议生态安全与防治外来物种入侵的生物多样性保护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论《野生动物保护法》修改的必要性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对完善循环经济制度的几点思考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论刑法中受保护动物的范围——从生态利益的独立性角度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生态防护林建设法治化思考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论我国世界遗产保护法的完善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我国湿地保护法律问题研究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论流域水污染防治立法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论生态环境协同立法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论我国食品安全立法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论环境保护相邻权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论环境权的法律属性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数字化时代环境监测法律制度研究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论污染环境犯罪中的严格责任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美国跨流域调水立法及其对我国的启示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论环境公益诉讼的几个问题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 xml:space="preserve">ENGO环境公益诉讼的理论依据——兼论中国ENGO环境公益诉讼的必要性及主要困境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农民环境知情权问题研究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169.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环境诉讼中生态环境损害鉴定评估制度实证研究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OECD国家环境税制的分析与启示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关于环境诉讼原告资格的思考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论环境行政公益诉讼中不履行法律职责的认定——以案例反洗为基础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论自然资源法变革的现实性、重点与目标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环境利益论纲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美国商业保险之环境污染除外责任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论环境公益诉讼之性质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环境法治建设对经济危机的方略借鉴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“双碳”目标实现的法律回应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环境权基本人权属性的法理学分析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我国城市居住社区环境保护与建设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环境公益诉讼几个基本问题探讨——理论基础、指导思想、诉讼程序和实施路径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论国家在国际民事赔偿责任体制中的作用——以跨国污染事件为背景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矿产资源规划的法治维度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国家安全视域下的战略性矿产资源储备制度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法律解释论视野下的中国环境公益行政诉讼制度之建构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澳门环境法制建设评述——以环境行政管理体制改革为视角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社会主义新农村建设与环境法律制度的历史性变革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东北地区国际河流的流域共同开发机制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189.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经济危机背景下的中国环境法制建设问题研究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论跨国公司环境法律责任与不方便法院原则——以博帕尔案为例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论我国矿业权取得制度基本原则的完善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农民实质自由与农村环境保护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风险预防原则在WTO法中的体现及适用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跨界水污染民事责任机制初探——《工业事故对跨界水域的跨界影响所致损害的民事责任与赔偿议定书》述评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浅议农民环境权益的法律保障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饮用水水源污染防治条例制定的最新动态探微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构建中国碳排放权交易机制的法律思考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我国环境权益群体性诉讼之探析——相关问题的反思与域外借鉴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试论排污量作为排污者责任确定标准的妥当性——对《民法典》的考察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论环境保护中的公众参与制度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论跨境环境损害的损失分担制度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环境问题的制度根源及环境管理的制度创新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船舶压载水引发海洋生态损害的法律思考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中美水污染物排放许可证制度比较分析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环境基本法立法目的探究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论环境正义的外延——环境伦理学的视角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新农村建设中的环境问题探析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论民间法对我国少数民族地区环境法制建设的贡献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209.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农村环境保护的经济分析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环境法庭设置可行性和必要性初探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韩国环境权理论与实践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生态环境损害的概念研究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论我国矿业权取得及流转中的相关实务问题研究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论协调发展与可持续发展的法律属性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环境公益诉讼制度的可行性研究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环境监管失职罪因果关系探讨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环境行政法律责任实现论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环境法律的捍卫——从“环境”概念切入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219.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我国室内装修污染的现状及其法律原因分析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环境侵权的归责追问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完善环境行政复议制度，促进生态文明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碳排放统计核算制度研究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美国超级基金法的实践及其对我国的启示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论农村环境法律保护中的政府责任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环境权与人权问题的国际视野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浅析环境侵权诉讼证明标准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我国环境公益诉讼模式选择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农村生态环境的民事合同治理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229.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跨行政区域环境联合执法机制的探索与思考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气候变化的制度因应：以建筑节能为例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村民自治组织在农村环境保护中的作用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能源监管机构的权力边界问题研究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粮食安全法律制度研究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利益平衡原则是土地制度建设的根本原则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可再生能源发展法律制度研究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论环境损害赔偿纠纷中的强制监测义务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水污染管理体制和调控机制的模式选择——武汉环保法律制度革新的一个视角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欧盟环境法的最新发展、不足与启示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239.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电磁辐射污染防治立法研究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引水灌溉农地行为的法学思考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从环境法律体系的构建探讨农村环境问题的解决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浅议我国的环境公益诉讼制度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农村环境政策研究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从环境行政权力到环境公共利益——中国环境法律制度的理念更新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矿产资源利益分配法律制度研究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石油战略储备制度比较研究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《能源宪章条约》关于能源投资与环境保护关系的规定及其缺陷——兼与晚近投资协定比较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环境行政执法的反思——以阳宗海砷污染为例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249.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环保打开了法律的潘多拉魔盒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农地土壤污染防治中农业农村行政主管部门的协调监管权研究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城镇化进程中农村环境的保护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刍议住院患者的环境权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论工作环境中的劳动环境权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环境权益交易立法若干问题研究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碳税与环境保护税法协同功能研究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资源税立法问题研究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论国际合作原则在国际环境保护领域的拓展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经济危机背景下中国环境资源立法的系统思考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259.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环境公益诉讼制度研究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农民环境权的保护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环境司法中的法院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浅谈农村环境保护法制建设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环境侵权示范诉讼制度研究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我国气候资源保护立法刍议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我国流域管理立法之检讨及重构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外层空间环境保护法律问题研究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从地球之友诉兰得洛环境服务公司案谈环境公益诉讼的原告资格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我国环境公益诉讼原告资格制度的现状及出路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269.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农村环境保护立法的经济激励分析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我国农村环境问题的成因及对策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从排斥对立到沟通协调——环境法研究思路的转变与更新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环境公益诉讼基本概念、范围的界定与原告类型的设定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地方性环境立法可操作性研究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完善农村饮用水源的法律保障机制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浅谈我国应对气候变化的法律措施碳基金——以英国为借鉴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从国际环境法的基本原则看我国《环境保护法》的修改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论生产者责任延伸制度及该制度在我国的完善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278.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论政府环境权力的性质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279.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完善环境群体性纠纷司法救济机制的几点思考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280.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外层空间资源的权属问题研究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281.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云南省少数民族环境权研究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282.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再论环境侵权行为的举证责任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283.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论政府环保责任之拓展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284.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构建我国突发环境事件应急预警制度的思路探析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285.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 xml:space="preserve">环境侵权救济方式的完善——民事公力救济的完善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286.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环境公共决策中信息公开的价值与规范研究——基于近年来中国环境影响评价争端个案的解读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287.</w:t>
      </w:r>
      <w:r>
        <w:rPr>
          <w:rFonts w:hint="eastAsia" w:ascii="宋体" w:hAnsi="宋体" w:cs="宋体"/>
          <w:kern w:val="1"/>
          <w:sz w:val="24"/>
        </w:rPr>
        <w:tab/>
      </w:r>
      <w:r>
        <w:rPr>
          <w:rFonts w:hint="eastAsia" w:ascii="宋体" w:hAnsi="宋体" w:cs="宋体"/>
          <w:kern w:val="1"/>
          <w:sz w:val="24"/>
        </w:rPr>
        <w:t>乡镇、街道办事处环境执法改革研究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288.税法立法与我国环境保护法的完善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289.WTO改革与我国的环境保护立法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290.绿色贸易壁垒对策研究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291.生物多样性保护立法研究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292.土地利用流转制度研究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293.西部大开发与生态保护措施研究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294.西部生态环境建设的法律研究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295.论我国环境保护法的完善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296.论自然资源保护法体系的完善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297.论污染防治法体系的完善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298.论土壤污染防治法的配套法律制度设计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299.环境资源法的价值定位研究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300.环境责任保险立法研究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301.我国绿色金融法律制度的完善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302.协调发展原则研究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303.风险预防原则研究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304.论污染者负担原则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305.论环境民主原则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306.论公众参与原则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307.论环境法的体系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308.论环境法的调整对象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309.土壤污染防治法的立法完善——以“常州毒地”事件为例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310.我国《固体废物污染环境防治法》若干问题研究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311.《耕地占用税法》修改研究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312.《车辆购置税法》中的绿色条款研究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313.论《税收征收管理法》与《环境保护税法》的协调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314.论排污许可证制度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315.《资源税法》可操作性评估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316.水权制度研究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317.中国资源税法体系化研究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318.环境人格权研究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319.论环境享有权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320.环境法律责任制度研究（民事、行政、刑事任选其一）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321.论《巴黎协定》中的共同但有区别的原则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322.论国际合作法律原则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323.环境保护产业化法律问题研究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324.农业面源污染防治法律制度研究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325.环境公益诉讼法律问题研究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326.论环境民事公益诉讼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327.论环境行政公益诉讼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328.环境公益诉讼制度研究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329.论我国环境侵权救济法律制度的完善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330.浅析环境侵权的因果关系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331.论环境侵权归责原则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332.论环境侵权救济的无过错责任原则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333.论环境侵权行为的构成要件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334.论环境侵权的概念与特征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335.试论环境侵权诉讼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336.论环境侵权民事救济制度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337.环境立法目的研究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338.环境纠纷行政解决机制研究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339.生态环境建设法律问题研究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340.日照权研究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341.采光权研究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342.达滨权研究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343.静稳权研究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344.嫌烟权研究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345.农村生态保护法律问题研究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346.国家生态环境安全法律问题研究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347.国家环境安全及其法律保护比较研究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348.论动物福利法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349.环境教育立法研究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350.数字化时代生态环境执法的困境与反思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rFonts w:ascii="宋体" w:hAnsi="宋体" w:cs="宋体"/>
          <w:kern w:val="1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auto"/>
        <w:rPr>
          <w:kern w:val="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058484"/>
    <w:multiLevelType w:val="multilevel"/>
    <w:tmpl w:val="EC05848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BjMzc5Yzk2N2IyZjg5YmJkYmI4MjIyMTFmNzZjZDkifQ=="/>
  </w:docVars>
  <w:rsids>
    <w:rsidRoot w:val="008C172D"/>
    <w:rsid w:val="000C5D02"/>
    <w:rsid w:val="00106E92"/>
    <w:rsid w:val="00182AA4"/>
    <w:rsid w:val="001C0B71"/>
    <w:rsid w:val="002B7736"/>
    <w:rsid w:val="002C71C5"/>
    <w:rsid w:val="00402FB8"/>
    <w:rsid w:val="00412EB0"/>
    <w:rsid w:val="00472099"/>
    <w:rsid w:val="004A228E"/>
    <w:rsid w:val="004C64EE"/>
    <w:rsid w:val="00507551"/>
    <w:rsid w:val="00524B91"/>
    <w:rsid w:val="00526C07"/>
    <w:rsid w:val="005C71C2"/>
    <w:rsid w:val="00653F7F"/>
    <w:rsid w:val="006632FE"/>
    <w:rsid w:val="006B28E2"/>
    <w:rsid w:val="006F401C"/>
    <w:rsid w:val="00790B92"/>
    <w:rsid w:val="0079532F"/>
    <w:rsid w:val="007C06E1"/>
    <w:rsid w:val="00803AC0"/>
    <w:rsid w:val="008627FF"/>
    <w:rsid w:val="008C172D"/>
    <w:rsid w:val="00A82521"/>
    <w:rsid w:val="00AF70E3"/>
    <w:rsid w:val="00BC1E97"/>
    <w:rsid w:val="00BC73B9"/>
    <w:rsid w:val="00CA6F0F"/>
    <w:rsid w:val="00D15F61"/>
    <w:rsid w:val="00D42595"/>
    <w:rsid w:val="00D83506"/>
    <w:rsid w:val="00E007E8"/>
    <w:rsid w:val="00E76DCD"/>
    <w:rsid w:val="049C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9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color w:val="000000"/>
      <w:kern w:val="1"/>
      <w:sz w:val="32"/>
      <w:szCs w:val="32"/>
    </w:rPr>
  </w:style>
  <w:style w:type="character" w:customStyle="1" w:styleId="8">
    <w:name w:val="副标题 Char"/>
    <w:basedOn w:val="7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9">
    <w:name w:val="副标题 Char1"/>
    <w:basedOn w:val="7"/>
    <w:link w:val="5"/>
    <w:uiPriority w:val="0"/>
    <w:rPr>
      <w:rFonts w:ascii="Cambria" w:hAnsi="Cambria" w:eastAsia="宋体" w:cs="Times New Roman"/>
      <w:b/>
      <w:color w:val="000000"/>
      <w:kern w:val="1"/>
      <w:sz w:val="32"/>
      <w:szCs w:val="32"/>
    </w:rPr>
  </w:style>
  <w:style w:type="character" w:customStyle="1" w:styleId="10">
    <w:name w:val="页眉 Char"/>
    <w:basedOn w:val="7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43</Pages>
  <Words>19458</Words>
  <Characters>20997</Characters>
  <Lines>159</Lines>
  <Paragraphs>44</Paragraphs>
  <TotalTime>1538</TotalTime>
  <ScaleCrop>false</ScaleCrop>
  <LinksUpToDate>false</LinksUpToDate>
  <CharactersWithSpaces>21300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2022-11-04T08:34:00Z</dcterms:created>
  <dc:creator>吴京辉</dc:creator>
  <cp:lastModifiedBy>WPS_1667520925</cp:lastModifiedBy>
  <dcterms:modified xsi:type="dcterms:W3CDTF">2022-11-17T08:19:07Z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14EE676A14844F778EC3133D0A5B3B59</vt:lpwstr>
  </property>
</Properties>
</file>